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微软雅黑" w:hAnsi="微软雅黑" w:eastAsia="微软雅黑" w:cs="微软雅黑"/>
          <w:b/>
          <w:bCs/>
          <w:sz w:val="56"/>
          <w:szCs w:val="56"/>
          <w:lang w:val="en-US" w:eastAsia="zh-CN"/>
        </w:rPr>
      </w:pPr>
      <w:bookmarkStart w:id="431" w:name="_GoBack"/>
      <w:bookmarkEnd w:id="431"/>
      <w:r>
        <w:rPr>
          <w:rFonts w:hint="eastAsia" w:ascii="微软雅黑" w:hAnsi="微软雅黑" w:eastAsia="微软雅黑" w:cs="微软雅黑"/>
          <w:b/>
          <w:bCs/>
          <w:sz w:val="56"/>
          <w:szCs w:val="56"/>
          <w:lang w:val="en-US" w:eastAsia="zh-CN"/>
        </w:rPr>
        <w:drawing>
          <wp:anchor distT="0" distB="0" distL="114300" distR="114300" simplePos="0" relativeHeight="251665408" behindDoc="1" locked="0" layoutInCell="1" allowOverlap="1">
            <wp:simplePos x="0" y="0"/>
            <wp:positionH relativeFrom="column">
              <wp:posOffset>-1069975</wp:posOffset>
            </wp:positionH>
            <wp:positionV relativeFrom="paragraph">
              <wp:posOffset>-810895</wp:posOffset>
            </wp:positionV>
            <wp:extent cx="7551420" cy="10671810"/>
            <wp:effectExtent l="0" t="0" r="11430" b="15240"/>
            <wp:wrapTight wrapText="bothSides">
              <wp:wrapPolygon>
                <wp:start x="0" y="0"/>
                <wp:lineTo x="0" y="21554"/>
                <wp:lineTo x="21524" y="21554"/>
                <wp:lineTo x="21524" y="0"/>
                <wp:lineTo x="0" y="0"/>
              </wp:wrapPolygon>
            </wp:wrapTight>
            <wp:docPr id="15" name="图片 15" descr="微信图片_2025102211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1022114054"/>
                    <pic:cNvPicPr>
                      <a:picLocks noChangeAspect="1"/>
                    </pic:cNvPicPr>
                  </pic:nvPicPr>
                  <pic:blipFill>
                    <a:blip r:embed="rId8"/>
                    <a:stretch>
                      <a:fillRect/>
                    </a:stretch>
                  </pic:blipFill>
                  <pic:spPr>
                    <a:xfrm>
                      <a:off x="0" y="0"/>
                      <a:ext cx="7551420" cy="10671810"/>
                    </a:xfrm>
                    <a:prstGeom prst="rect">
                      <a:avLst/>
                    </a:prstGeom>
                  </pic:spPr>
                </pic:pic>
              </a:graphicData>
            </a:graphic>
          </wp:anchor>
        </w:drawing>
      </w:r>
    </w:p>
    <w:p>
      <w:pPr>
        <w:jc w:val="center"/>
        <w:rPr>
          <w:rFonts w:hint="eastAsia" w:ascii="黑体" w:hAnsi="黑体" w:eastAsia="黑体" w:cs="黑体"/>
          <w:snapToGrid w:val="0"/>
          <w:color w:val="000000"/>
          <w:spacing w:val="4"/>
          <w:kern w:val="0"/>
          <w:sz w:val="43"/>
          <w:szCs w:val="43"/>
          <w:highlight w:val="none"/>
          <w:lang w:val="en-US" w:eastAsia="zh-CN"/>
        </w:rPr>
      </w:pPr>
      <w:r>
        <w:rPr>
          <w:rFonts w:hint="eastAsia" w:ascii="黑体" w:hAnsi="黑体" w:eastAsia="黑体"/>
          <w:b w:val="0"/>
          <w:bCs w:val="0"/>
          <w:color w:val="auto"/>
          <w:sz w:val="44"/>
          <w:szCs w:val="44"/>
          <w:highlight w:val="none"/>
          <w:lang w:val="en-US" w:eastAsia="zh-CN"/>
        </w:rPr>
        <w:t>编制</w:t>
      </w:r>
      <w:r>
        <w:rPr>
          <w:rFonts w:hint="eastAsia" w:ascii="黑体" w:hAnsi="黑体" w:eastAsia="黑体" w:cs="黑体"/>
          <w:snapToGrid w:val="0"/>
          <w:color w:val="000000"/>
          <w:spacing w:val="4"/>
          <w:kern w:val="0"/>
          <w:sz w:val="43"/>
          <w:szCs w:val="43"/>
          <w:highlight w:val="none"/>
          <w:lang w:val="en-US" w:eastAsia="zh-CN"/>
        </w:rPr>
        <w:t>说明</w:t>
      </w:r>
    </w:p>
    <w:p>
      <w:pPr>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习近平总书记强调：“以高水平对外开放促进深层次改革、高质量发展。”外商投资是参与中国式现代化建设、推动中国经济与世界经济共同繁荣发展的重要力量。为深入贯彻落实党中央、国务院关于高水平对外开放工作部署，2023年10月，国家税务总局在全面梳理税收服务“一带一路”十年成果的基础上，再次提升、再次创新，正式发布了“税路通”服务品牌，陆续推出多项系列知识产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外商投资项目全周期涉税服务指引》作为“税路通”服务品牌的全新产品之一，旨在聚焦外商投资项目这一特定服务对象，内容包含五个章节：第一章节简要介绍外商投资项目的基本情况；第二至第四章节重点提炼与项目落地密切相关的税收政策、税收服务和涉税风险提示，并细分为投资、建设、投产和撤资清算四个全生命周期环节予以展现；第五章节收录了常见涉税问题解答。</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highlight w:val="none"/>
          <w:lang w:val="en-US" w:eastAsia="zh-CN"/>
        </w:rPr>
        <w:sectPr>
          <w:footerReference r:id="rId4"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 w:val="0"/>
          <w:bCs w:val="0"/>
          <w:color w:val="auto"/>
          <w:sz w:val="32"/>
          <w:szCs w:val="32"/>
          <w:highlight w:val="none"/>
          <w:lang w:val="en-US" w:eastAsia="zh-CN"/>
        </w:rPr>
        <w:t>希望《外商投资项目全周期涉税服务指引》能为外商投资项目提供兼具温度和实用的综合性税收指引，能作为纳税人手边的“工具书”，为扎实推进高水平对外开放、更大力度吸引和利用外资做出积极贡献。</w:t>
      </w:r>
    </w:p>
    <w:p>
      <w:pPr>
        <w:pStyle w:val="12"/>
        <w:tabs>
          <w:tab w:val="right" w:leader="dot" w:pos="8306"/>
        </w:tabs>
        <w:jc w:val="center"/>
        <w:rPr>
          <w:rFonts w:hint="default" w:ascii="黑体" w:hAnsi="黑体" w:eastAsia="黑体" w:cs="黑体"/>
          <w:snapToGrid w:val="0"/>
          <w:color w:val="000000"/>
          <w:spacing w:val="-31"/>
          <w:kern w:val="0"/>
          <w:sz w:val="35"/>
          <w:szCs w:val="35"/>
          <w:highlight w:val="none"/>
          <w:lang w:val="en-US" w:eastAsia="zh-CN" w:bidi="ar-SA"/>
        </w:rPr>
      </w:pPr>
      <w:r>
        <w:rPr>
          <w:rFonts w:hint="eastAsia" w:ascii="黑体" w:hAnsi="黑体" w:eastAsia="黑体" w:cs="黑体"/>
          <w:snapToGrid w:val="0"/>
          <w:color w:val="000000"/>
          <w:spacing w:val="-31"/>
          <w:kern w:val="0"/>
          <w:sz w:val="35"/>
          <w:szCs w:val="35"/>
          <w:highlight w:val="none"/>
          <w:lang w:val="en-US" w:eastAsia="zh-CN" w:bidi="ar-SA"/>
        </w:rPr>
        <w:t>目  录</w:t>
      </w:r>
    </w:p>
    <w:p>
      <w:pPr>
        <w:pStyle w:val="12"/>
        <w:tabs>
          <w:tab w:val="right" w:leader="dot" w:pos="8306"/>
        </w:tabs>
        <w:spacing w:line="360" w:lineRule="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color w:val="auto"/>
          <w:sz w:val="24"/>
          <w:szCs w:val="24"/>
          <w:highlight w:val="none"/>
          <w:lang w:val="en-US" w:eastAsia="zh-CN"/>
        </w:rPr>
        <w:instrText xml:space="preserve">TOC \o "1-5" \h \u </w:instrText>
      </w:r>
      <w:r>
        <w:rPr>
          <w:rFonts w:hint="eastAsia" w:ascii="黑体" w:hAnsi="黑体" w:eastAsia="黑体" w:cs="黑体"/>
          <w:color w:val="auto"/>
          <w:sz w:val="24"/>
          <w:szCs w:val="24"/>
          <w:highlight w:val="none"/>
          <w:lang w:val="en-US" w:eastAsia="zh-CN"/>
        </w:rPr>
        <w:fldChar w:fldCharType="separate"/>
      </w: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_Toc16244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一、外商投资项目概述</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_Toc16244 \h </w:instrText>
      </w:r>
      <w:r>
        <w:rPr>
          <w:rFonts w:hint="eastAsia" w:ascii="黑体" w:hAnsi="黑体" w:eastAsia="黑体" w:cs="黑体"/>
          <w:sz w:val="24"/>
        </w:rPr>
        <w:fldChar w:fldCharType="separate"/>
      </w:r>
      <w:r>
        <w:rPr>
          <w:rFonts w:hint="eastAsia" w:ascii="黑体" w:hAnsi="黑体" w:eastAsia="黑体" w:cs="黑体"/>
          <w:sz w:val="24"/>
        </w:rPr>
        <w:t>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_Toc6569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（一）外商投资项目流程简介</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_Toc6569 \h </w:instrText>
      </w:r>
      <w:r>
        <w:rPr>
          <w:rFonts w:hint="eastAsia" w:ascii="黑体" w:hAnsi="黑体" w:eastAsia="黑体" w:cs="黑体"/>
          <w:sz w:val="24"/>
        </w:rPr>
        <w:fldChar w:fldCharType="separate"/>
      </w:r>
      <w:r>
        <w:rPr>
          <w:rFonts w:hint="eastAsia" w:ascii="黑体" w:hAnsi="黑体" w:eastAsia="黑体" w:cs="黑体"/>
          <w:sz w:val="24"/>
        </w:rPr>
        <w:t>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_Toc10977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（二）外商投资项目全周期</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_Toc10977 \h </w:instrText>
      </w:r>
      <w:r>
        <w:rPr>
          <w:rFonts w:hint="eastAsia" w:ascii="黑体" w:hAnsi="黑体" w:eastAsia="黑体" w:cs="黑体"/>
          <w:sz w:val="24"/>
        </w:rPr>
        <w:fldChar w:fldCharType="separate"/>
      </w:r>
      <w:r>
        <w:rPr>
          <w:rFonts w:hint="eastAsia" w:ascii="黑体" w:hAnsi="黑体" w:eastAsia="黑体" w:cs="黑体"/>
          <w:sz w:val="24"/>
        </w:rPr>
        <w:t>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2"/>
        <w:tabs>
          <w:tab w:val="right" w:leader="dot" w:pos="8306"/>
        </w:tabs>
        <w:spacing w:line="360" w:lineRule="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_Toc14457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二、税收</w:t>
      </w:r>
      <w:r>
        <w:rPr>
          <w:rFonts w:hint="eastAsia" w:ascii="黑体" w:hAnsi="黑体" w:eastAsia="黑体" w:cs="黑体"/>
          <w:sz w:val="24"/>
          <w:szCs w:val="24"/>
          <w:highlight w:val="none"/>
        </w:rPr>
        <w:t>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_Toc14457 \h </w:instrText>
      </w:r>
      <w:r>
        <w:rPr>
          <w:rFonts w:hint="eastAsia" w:ascii="黑体" w:hAnsi="黑体" w:eastAsia="黑体" w:cs="黑体"/>
          <w:sz w:val="24"/>
        </w:rPr>
        <w:fldChar w:fldCharType="separate"/>
      </w:r>
      <w:r>
        <w:rPr>
          <w:rFonts w:hint="eastAsia" w:ascii="黑体" w:hAnsi="黑体" w:eastAsia="黑体" w:cs="黑体"/>
          <w:sz w:val="24"/>
        </w:rPr>
        <w:t>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_Toc20826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（一）项目投资阶段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_Toc20826 \h </w:instrText>
      </w:r>
      <w:r>
        <w:rPr>
          <w:rFonts w:hint="eastAsia" w:ascii="黑体" w:hAnsi="黑体" w:eastAsia="黑体" w:cs="黑体"/>
          <w:sz w:val="24"/>
        </w:rPr>
        <w:fldChar w:fldCharType="separate"/>
      </w:r>
      <w:r>
        <w:rPr>
          <w:rFonts w:hint="eastAsia" w:ascii="黑体" w:hAnsi="黑体" w:eastAsia="黑体" w:cs="黑体"/>
          <w:sz w:val="24"/>
        </w:rPr>
        <w:t>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_Toc20391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1.鼓励境内外投资税收政策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_Toc20391 \h </w:instrText>
      </w:r>
      <w:r>
        <w:rPr>
          <w:rFonts w:hint="eastAsia" w:ascii="黑体" w:hAnsi="黑体" w:eastAsia="黑体" w:cs="黑体"/>
          <w:sz w:val="24"/>
        </w:rPr>
        <w:fldChar w:fldCharType="separate"/>
      </w:r>
      <w:r>
        <w:rPr>
          <w:rFonts w:hint="eastAsia" w:ascii="黑体" w:hAnsi="黑体" w:eastAsia="黑体" w:cs="黑体"/>
          <w:sz w:val="24"/>
        </w:rPr>
        <w:t>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_Toc4129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境外投资者以分配利润直接投资暂不征收预提所得税政策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_Toc4129 \h </w:instrText>
      </w:r>
      <w:r>
        <w:rPr>
          <w:rFonts w:hint="eastAsia" w:ascii="黑体" w:hAnsi="黑体" w:eastAsia="黑体" w:cs="黑体"/>
          <w:sz w:val="24"/>
        </w:rPr>
        <w:fldChar w:fldCharType="separate"/>
      </w:r>
      <w:r>
        <w:rPr>
          <w:rFonts w:hint="eastAsia" w:ascii="黑体" w:hAnsi="黑体" w:eastAsia="黑体" w:cs="黑体"/>
          <w:sz w:val="24"/>
        </w:rPr>
        <w:t>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_Toc6657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lang w:eastAsia="zh-CN"/>
        </w:rPr>
        <w:t>）境外投资者以分配利润直接投资税收抵免</w:t>
      </w:r>
      <w:r>
        <w:rPr>
          <w:rFonts w:hint="eastAsia" w:ascii="黑体" w:hAnsi="黑体" w:eastAsia="黑体" w:cs="黑体"/>
          <w:bCs/>
          <w:sz w:val="24"/>
          <w:szCs w:val="24"/>
          <w:highlight w:val="none"/>
        </w:rPr>
        <w:t>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_Toc6657 \h </w:instrText>
      </w:r>
      <w:r>
        <w:rPr>
          <w:rFonts w:hint="eastAsia" w:ascii="黑体" w:hAnsi="黑体" w:eastAsia="黑体" w:cs="黑体"/>
          <w:sz w:val="24"/>
        </w:rPr>
        <w:fldChar w:fldCharType="separate"/>
      </w:r>
      <w:r>
        <w:rPr>
          <w:rFonts w:hint="eastAsia" w:ascii="黑体" w:hAnsi="黑体" w:eastAsia="黑体" w:cs="黑体"/>
          <w:sz w:val="24"/>
        </w:rPr>
        <w:t>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_Toc25128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（3）企业以技术成果投资入股递延纳税优惠政策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_Toc25128 \h </w:instrText>
      </w:r>
      <w:r>
        <w:rPr>
          <w:rFonts w:hint="eastAsia" w:ascii="黑体" w:hAnsi="黑体" w:eastAsia="黑体" w:cs="黑体"/>
          <w:sz w:val="24"/>
        </w:rPr>
        <w:fldChar w:fldCharType="separate"/>
      </w:r>
      <w:r>
        <w:rPr>
          <w:rFonts w:hint="eastAsia" w:ascii="黑体" w:hAnsi="黑体" w:eastAsia="黑体" w:cs="黑体"/>
          <w:sz w:val="24"/>
        </w:rPr>
        <w:t>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_Toc16721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rPr>
        <w:t>（</w:t>
      </w:r>
      <w:r>
        <w:rPr>
          <w:rFonts w:hint="eastAsia" w:ascii="黑体" w:hAnsi="黑体" w:eastAsia="黑体" w:cs="黑体"/>
          <w:bCs/>
          <w:kern w:val="2"/>
          <w:sz w:val="24"/>
          <w:szCs w:val="24"/>
          <w:highlight w:val="none"/>
          <w:shd w:val="clear" w:color="auto" w:fill="auto"/>
          <w:lang w:val="en-US" w:eastAsia="zh-CN"/>
        </w:rPr>
        <w:t>4</w:t>
      </w:r>
      <w:r>
        <w:rPr>
          <w:rFonts w:hint="eastAsia" w:ascii="黑体" w:hAnsi="黑体" w:eastAsia="黑体" w:cs="黑体"/>
          <w:bCs/>
          <w:kern w:val="2"/>
          <w:sz w:val="24"/>
          <w:szCs w:val="24"/>
          <w:highlight w:val="none"/>
          <w:lang w:val="en-US" w:eastAsia="zh-CN"/>
        </w:rPr>
        <w:t>）</w:t>
      </w:r>
      <w:r>
        <w:rPr>
          <w:rFonts w:hint="eastAsia" w:ascii="黑体" w:hAnsi="黑体" w:eastAsia="黑体" w:cs="黑体"/>
          <w:bCs/>
          <w:i w:val="0"/>
          <w:iCs w:val="0"/>
          <w:caps w:val="0"/>
          <w:spacing w:val="0"/>
          <w:kern w:val="2"/>
          <w:sz w:val="24"/>
          <w:szCs w:val="24"/>
          <w:highlight w:val="none"/>
          <w:shd w:val="clear" w:color="auto" w:fill="auto"/>
        </w:rPr>
        <w:t>关于外国投资者从外商投资企业取得利润的优惠政策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_Toc16721 \h </w:instrText>
      </w:r>
      <w:r>
        <w:rPr>
          <w:rFonts w:hint="eastAsia" w:ascii="黑体" w:hAnsi="黑体" w:eastAsia="黑体" w:cs="黑体"/>
          <w:sz w:val="24"/>
        </w:rPr>
        <w:fldChar w:fldCharType="separate"/>
      </w:r>
      <w:r>
        <w:rPr>
          <w:rFonts w:hint="eastAsia" w:ascii="黑体" w:hAnsi="黑体" w:eastAsia="黑体" w:cs="黑体"/>
          <w:sz w:val="24"/>
        </w:rPr>
        <w:t>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_Toc551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lang w:val="en-US" w:eastAsia="zh-CN"/>
        </w:rPr>
        <w:t>5</w:t>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lang w:val="en-US" w:eastAsia="zh-CN"/>
        </w:rPr>
        <w:t>外籍个人从外商投资企业取得的股息、红利所得暂免征收个人所得税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_Toc551 \h </w:instrText>
      </w:r>
      <w:r>
        <w:rPr>
          <w:rFonts w:hint="eastAsia" w:ascii="黑体" w:hAnsi="黑体" w:eastAsia="黑体" w:cs="黑体"/>
          <w:sz w:val="24"/>
        </w:rPr>
        <w:fldChar w:fldCharType="separate"/>
      </w:r>
      <w:r>
        <w:rPr>
          <w:rFonts w:hint="eastAsia" w:ascii="黑体" w:hAnsi="黑体" w:eastAsia="黑体" w:cs="黑体"/>
          <w:sz w:val="24"/>
        </w:rPr>
        <w:t>10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_Toc21794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lang w:val="en-US" w:eastAsia="zh-CN"/>
        </w:rPr>
        <w:t>6</w:t>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rPr>
        <w:t>境外机构投资者从事中国境内原油期货交易暂不征收企业所得税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_Toc21794 \h </w:instrText>
      </w:r>
      <w:r>
        <w:rPr>
          <w:rFonts w:hint="eastAsia" w:ascii="黑体" w:hAnsi="黑体" w:eastAsia="黑体" w:cs="黑体"/>
          <w:sz w:val="24"/>
        </w:rPr>
        <w:fldChar w:fldCharType="separate"/>
      </w:r>
      <w:r>
        <w:rPr>
          <w:rFonts w:hint="eastAsia" w:ascii="黑体" w:hAnsi="黑体" w:eastAsia="黑体" w:cs="黑体"/>
          <w:sz w:val="24"/>
        </w:rPr>
        <w:t>10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_Toc21450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lang w:val="en-US" w:eastAsia="zh-CN"/>
        </w:rPr>
        <w:t>7</w:t>
      </w:r>
      <w:r>
        <w:rPr>
          <w:rFonts w:hint="eastAsia" w:ascii="黑体" w:hAnsi="黑体" w:eastAsia="黑体" w:cs="黑体"/>
          <w:bCs/>
          <w:kern w:val="2"/>
          <w:sz w:val="24"/>
          <w:szCs w:val="24"/>
          <w:highlight w:val="none"/>
          <w:lang w:eastAsia="zh-CN"/>
        </w:rPr>
        <w:t>）</w:t>
      </w:r>
      <w:r>
        <w:rPr>
          <w:rFonts w:hint="eastAsia" w:ascii="黑体" w:hAnsi="黑体" w:eastAsia="黑体" w:cs="黑体"/>
          <w:bCs/>
          <w:kern w:val="2"/>
          <w:sz w:val="24"/>
          <w:szCs w:val="24"/>
          <w:highlight w:val="none"/>
        </w:rPr>
        <w:t>境外个人投资者投资中国境内原油等货物期货品种取得的所得暂免征收个人所得税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_Toc21450 \h </w:instrText>
      </w:r>
      <w:r>
        <w:rPr>
          <w:rFonts w:hint="eastAsia" w:ascii="黑体" w:hAnsi="黑体" w:eastAsia="黑体" w:cs="黑体"/>
          <w:sz w:val="24"/>
        </w:rPr>
        <w:fldChar w:fldCharType="separate"/>
      </w:r>
      <w:r>
        <w:rPr>
          <w:rFonts w:hint="eastAsia" w:ascii="黑体" w:hAnsi="黑体" w:eastAsia="黑体" w:cs="黑体"/>
          <w:sz w:val="24"/>
        </w:rPr>
        <w:t>11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_Toc8237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（8）非货币性资产对外投资分期缴纳企业所得税政策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_Toc8237 \h </w:instrText>
      </w:r>
      <w:r>
        <w:rPr>
          <w:rFonts w:hint="eastAsia" w:ascii="黑体" w:hAnsi="黑体" w:eastAsia="黑体" w:cs="黑体"/>
          <w:sz w:val="24"/>
        </w:rPr>
        <w:fldChar w:fldCharType="separate"/>
      </w:r>
      <w:r>
        <w:rPr>
          <w:rFonts w:hint="eastAsia" w:ascii="黑体" w:hAnsi="黑体" w:eastAsia="黑体" w:cs="黑体"/>
          <w:sz w:val="24"/>
        </w:rPr>
        <w:t>11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_Toc21755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9</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非货币性资产对外投资分期缴纳个人所得税政策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_Toc21755 \h </w:instrText>
      </w:r>
      <w:r>
        <w:rPr>
          <w:rFonts w:hint="eastAsia" w:ascii="黑体" w:hAnsi="黑体" w:eastAsia="黑体" w:cs="黑体"/>
          <w:sz w:val="24"/>
        </w:rPr>
        <w:fldChar w:fldCharType="separate"/>
      </w:r>
      <w:r>
        <w:rPr>
          <w:rFonts w:hint="eastAsia" w:ascii="黑体" w:hAnsi="黑体" w:eastAsia="黑体" w:cs="黑体"/>
          <w:sz w:val="24"/>
        </w:rPr>
        <w:t>12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_Toc11874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rPr>
        <w:t>项目用地</w:t>
      </w:r>
      <w:r>
        <w:rPr>
          <w:rFonts w:hint="eastAsia" w:ascii="黑体" w:hAnsi="黑体" w:eastAsia="黑体" w:cs="黑体"/>
          <w:bCs/>
          <w:sz w:val="24"/>
          <w:szCs w:val="24"/>
          <w:highlight w:val="none"/>
          <w:lang w:eastAsia="zh-CN"/>
        </w:rPr>
        <w:t>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_Toc11874 \h </w:instrText>
      </w:r>
      <w:r>
        <w:rPr>
          <w:rFonts w:hint="eastAsia" w:ascii="黑体" w:hAnsi="黑体" w:eastAsia="黑体" w:cs="黑体"/>
          <w:sz w:val="24"/>
        </w:rPr>
        <w:fldChar w:fldCharType="separate"/>
      </w:r>
      <w:r>
        <w:rPr>
          <w:rFonts w:hint="eastAsia" w:ascii="黑体" w:hAnsi="黑体" w:eastAsia="黑体" w:cs="黑体"/>
          <w:sz w:val="24"/>
        </w:rPr>
        <w:t>13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_Toc10671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土地使用权受让方所涉契税政策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_Toc10671 \h </w:instrText>
      </w:r>
      <w:r>
        <w:rPr>
          <w:rFonts w:hint="eastAsia" w:ascii="黑体" w:hAnsi="黑体" w:eastAsia="黑体" w:cs="黑体"/>
          <w:sz w:val="24"/>
        </w:rPr>
        <w:fldChar w:fldCharType="separate"/>
      </w:r>
      <w:r>
        <w:rPr>
          <w:rFonts w:hint="eastAsia" w:ascii="黑体" w:hAnsi="黑体" w:eastAsia="黑体" w:cs="黑体"/>
          <w:sz w:val="24"/>
        </w:rPr>
        <w:t>13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_Toc5229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土地使用权受让方所涉印花税政策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_Toc5229 \h </w:instrText>
      </w:r>
      <w:r>
        <w:rPr>
          <w:rFonts w:hint="eastAsia" w:ascii="黑体" w:hAnsi="黑体" w:eastAsia="黑体" w:cs="黑体"/>
          <w:sz w:val="24"/>
        </w:rPr>
        <w:fldChar w:fldCharType="separate"/>
      </w:r>
      <w:r>
        <w:rPr>
          <w:rFonts w:hint="eastAsia" w:ascii="黑体" w:hAnsi="黑体" w:eastAsia="黑体" w:cs="黑体"/>
          <w:sz w:val="24"/>
        </w:rPr>
        <w:t>14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_Toc9392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（二）项目建设阶段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_Toc9392 \h </w:instrText>
      </w:r>
      <w:r>
        <w:rPr>
          <w:rFonts w:hint="eastAsia" w:ascii="黑体" w:hAnsi="黑体" w:eastAsia="黑体" w:cs="黑体"/>
          <w:sz w:val="24"/>
        </w:rPr>
        <w:fldChar w:fldCharType="separate"/>
      </w:r>
      <w:r>
        <w:rPr>
          <w:rFonts w:hint="eastAsia" w:ascii="黑体" w:hAnsi="黑体" w:eastAsia="黑体" w:cs="黑体"/>
          <w:sz w:val="24"/>
        </w:rPr>
        <w:t>15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_Toc3875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1.项目采购设备税收政策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_Toc3875 \h </w:instrText>
      </w:r>
      <w:r>
        <w:rPr>
          <w:rFonts w:hint="eastAsia" w:ascii="黑体" w:hAnsi="黑体" w:eastAsia="黑体" w:cs="黑体"/>
          <w:sz w:val="24"/>
        </w:rPr>
        <w:fldChar w:fldCharType="separate"/>
      </w:r>
      <w:r>
        <w:rPr>
          <w:rFonts w:hint="eastAsia" w:ascii="黑体" w:hAnsi="黑体" w:eastAsia="黑体" w:cs="黑体"/>
          <w:sz w:val="24"/>
        </w:rPr>
        <w:t>15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_Toc6147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设备、器具一次性税前扣除政策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_Toc6147 \h </w:instrText>
      </w:r>
      <w:r>
        <w:rPr>
          <w:rFonts w:hint="eastAsia" w:ascii="黑体" w:hAnsi="黑体" w:eastAsia="黑体" w:cs="黑体"/>
          <w:sz w:val="24"/>
        </w:rPr>
        <w:fldChar w:fldCharType="separate"/>
      </w:r>
      <w:r>
        <w:rPr>
          <w:rFonts w:hint="eastAsia" w:ascii="黑体" w:hAnsi="黑体" w:eastAsia="黑体" w:cs="黑体"/>
          <w:sz w:val="24"/>
        </w:rPr>
        <w:t>15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_Toc5870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增值税留抵退税政策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_Toc5870 \h </w:instrText>
      </w:r>
      <w:r>
        <w:rPr>
          <w:rFonts w:hint="eastAsia" w:ascii="黑体" w:hAnsi="黑体" w:eastAsia="黑体" w:cs="黑体"/>
          <w:sz w:val="24"/>
        </w:rPr>
        <w:fldChar w:fldCharType="separate"/>
      </w:r>
      <w:r>
        <w:rPr>
          <w:rFonts w:hint="eastAsia" w:ascii="黑体" w:hAnsi="黑体" w:eastAsia="黑体" w:cs="黑体"/>
          <w:sz w:val="24"/>
        </w:rPr>
        <w:t>16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_Toc14075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3</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重大技术装备进口免征增值税政策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_Toc14075 \h </w:instrText>
      </w:r>
      <w:r>
        <w:rPr>
          <w:rFonts w:hint="eastAsia" w:ascii="黑体" w:hAnsi="黑体" w:eastAsia="黑体" w:cs="黑体"/>
          <w:sz w:val="24"/>
        </w:rPr>
        <w:fldChar w:fldCharType="separate"/>
      </w:r>
      <w:r>
        <w:rPr>
          <w:rFonts w:hint="eastAsia" w:ascii="黑体" w:hAnsi="黑体" w:eastAsia="黑体" w:cs="黑体"/>
          <w:sz w:val="24"/>
        </w:rPr>
        <w:t>16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_Toc1051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2.非居民企业税收政策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_Toc1051 \h </w:instrText>
      </w:r>
      <w:r>
        <w:rPr>
          <w:rFonts w:hint="eastAsia" w:ascii="黑体" w:hAnsi="黑体" w:eastAsia="黑体" w:cs="黑体"/>
          <w:sz w:val="24"/>
        </w:rPr>
        <w:fldChar w:fldCharType="separate"/>
      </w:r>
      <w:r>
        <w:rPr>
          <w:rFonts w:hint="eastAsia" w:ascii="黑体" w:hAnsi="黑体" w:eastAsia="黑体" w:cs="黑体"/>
          <w:sz w:val="24"/>
        </w:rPr>
        <w:t>17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_Toc18897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非居民企业</w:t>
      </w:r>
      <w:r>
        <w:rPr>
          <w:rFonts w:hint="eastAsia" w:ascii="黑体" w:hAnsi="黑体" w:eastAsia="黑体" w:cs="黑体"/>
          <w:bCs/>
          <w:sz w:val="24"/>
          <w:szCs w:val="24"/>
          <w:highlight w:val="none"/>
          <w:lang w:eastAsia="zh-CN"/>
        </w:rPr>
        <w:t>设立机构、场所相关</w:t>
      </w:r>
      <w:r>
        <w:rPr>
          <w:rFonts w:hint="eastAsia" w:ascii="黑体" w:hAnsi="黑体" w:eastAsia="黑体" w:cs="黑体"/>
          <w:bCs/>
          <w:sz w:val="24"/>
          <w:szCs w:val="24"/>
          <w:highlight w:val="none"/>
        </w:rPr>
        <w:t>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_Toc18897 \h </w:instrText>
      </w:r>
      <w:r>
        <w:rPr>
          <w:rFonts w:hint="eastAsia" w:ascii="黑体" w:hAnsi="黑体" w:eastAsia="黑体" w:cs="黑体"/>
          <w:sz w:val="24"/>
        </w:rPr>
        <w:fldChar w:fldCharType="separate"/>
      </w:r>
      <w:r>
        <w:rPr>
          <w:rFonts w:hint="eastAsia" w:ascii="黑体" w:hAnsi="黑体" w:eastAsia="黑体" w:cs="黑体"/>
          <w:sz w:val="24"/>
        </w:rPr>
        <w:t>17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_Toc4765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（2）非居民企业所得税源泉扣缴政策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_Toc4765 \h </w:instrText>
      </w:r>
      <w:r>
        <w:rPr>
          <w:rFonts w:hint="eastAsia" w:ascii="黑体" w:hAnsi="黑体" w:eastAsia="黑体" w:cs="黑体"/>
          <w:sz w:val="24"/>
        </w:rPr>
        <w:fldChar w:fldCharType="separate"/>
      </w:r>
      <w:r>
        <w:rPr>
          <w:rFonts w:hint="eastAsia" w:ascii="黑体" w:hAnsi="黑体" w:eastAsia="黑体" w:cs="黑体"/>
          <w:sz w:val="24"/>
        </w:rPr>
        <w:t>18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_Toc18148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（3）服务贸易等项目对外支付税务备案</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_Toc18148 \h </w:instrText>
      </w:r>
      <w:r>
        <w:rPr>
          <w:rFonts w:hint="eastAsia" w:ascii="黑体" w:hAnsi="黑体" w:eastAsia="黑体" w:cs="黑体"/>
          <w:sz w:val="24"/>
        </w:rPr>
        <w:fldChar w:fldCharType="separate"/>
      </w:r>
      <w:r>
        <w:rPr>
          <w:rFonts w:hint="eastAsia" w:ascii="黑体" w:hAnsi="黑体" w:eastAsia="黑体" w:cs="黑体"/>
          <w:sz w:val="24"/>
        </w:rPr>
        <w:t>19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_Toc10430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4</w:t>
      </w: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rPr>
        <w:t>符合条件的非居民纳税人享受协定待遇</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_Toc10430 \h </w:instrText>
      </w:r>
      <w:r>
        <w:rPr>
          <w:rFonts w:hint="eastAsia" w:ascii="黑体" w:hAnsi="黑体" w:eastAsia="黑体" w:cs="黑体"/>
          <w:sz w:val="24"/>
        </w:rPr>
        <w:fldChar w:fldCharType="separate"/>
      </w:r>
      <w:r>
        <w:rPr>
          <w:rFonts w:hint="eastAsia" w:ascii="黑体" w:hAnsi="黑体" w:eastAsia="黑体" w:cs="黑体"/>
          <w:sz w:val="24"/>
        </w:rPr>
        <w:t>20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_Toc18194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（三）项目投产阶段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_Toc18194 \h </w:instrText>
      </w:r>
      <w:r>
        <w:rPr>
          <w:rFonts w:hint="eastAsia" w:ascii="黑体" w:hAnsi="黑体" w:eastAsia="黑体" w:cs="黑体"/>
          <w:sz w:val="24"/>
        </w:rPr>
        <w:fldChar w:fldCharType="separate"/>
      </w:r>
      <w:r>
        <w:rPr>
          <w:rFonts w:hint="eastAsia" w:ascii="黑体" w:hAnsi="黑体" w:eastAsia="黑体" w:cs="黑体"/>
          <w:sz w:val="24"/>
        </w:rPr>
        <w:t>21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_Toc8351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1.吸纳人才税收政策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_Toc8351 \h </w:instrText>
      </w:r>
      <w:r>
        <w:rPr>
          <w:rFonts w:hint="eastAsia" w:ascii="黑体" w:hAnsi="黑体" w:eastAsia="黑体" w:cs="黑体"/>
          <w:sz w:val="24"/>
        </w:rPr>
        <w:fldChar w:fldCharType="separate"/>
      </w:r>
      <w:r>
        <w:rPr>
          <w:rFonts w:hint="eastAsia" w:ascii="黑体" w:hAnsi="黑体" w:eastAsia="黑体" w:cs="黑体"/>
          <w:sz w:val="24"/>
        </w:rPr>
        <w:t>22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_Toc13772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（1）外籍个人津补贴个人所得税优惠政策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_Toc13772 \h </w:instrText>
      </w:r>
      <w:r>
        <w:rPr>
          <w:rFonts w:hint="eastAsia" w:ascii="黑体" w:hAnsi="黑体" w:eastAsia="黑体" w:cs="黑体"/>
          <w:sz w:val="24"/>
        </w:rPr>
        <w:fldChar w:fldCharType="separate"/>
      </w:r>
      <w:r>
        <w:rPr>
          <w:rFonts w:hint="eastAsia" w:ascii="黑体" w:hAnsi="黑体" w:eastAsia="黑体" w:cs="黑体"/>
          <w:sz w:val="24"/>
        </w:rPr>
        <w:t>22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_Toc4727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（2）股权激励个人所得税政策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_Toc4727 \h </w:instrText>
      </w:r>
      <w:r>
        <w:rPr>
          <w:rFonts w:hint="eastAsia" w:ascii="黑体" w:hAnsi="黑体" w:eastAsia="黑体" w:cs="黑体"/>
          <w:sz w:val="24"/>
        </w:rPr>
        <w:fldChar w:fldCharType="separate"/>
      </w:r>
      <w:r>
        <w:rPr>
          <w:rFonts w:hint="eastAsia" w:ascii="黑体" w:hAnsi="黑体" w:eastAsia="黑体" w:cs="黑体"/>
          <w:sz w:val="24"/>
        </w:rPr>
        <w:t>22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_Toc25296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（3）个人以技术成果投资入股递延纳税优惠政策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_Toc25296 \h </w:instrText>
      </w:r>
      <w:r>
        <w:rPr>
          <w:rFonts w:hint="eastAsia" w:ascii="黑体" w:hAnsi="黑体" w:eastAsia="黑体" w:cs="黑体"/>
          <w:sz w:val="24"/>
        </w:rPr>
        <w:fldChar w:fldCharType="separate"/>
      </w:r>
      <w:r>
        <w:rPr>
          <w:rFonts w:hint="eastAsia" w:ascii="黑体" w:hAnsi="黑体" w:eastAsia="黑体" w:cs="黑体"/>
          <w:sz w:val="24"/>
        </w:rPr>
        <w:t>23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_Toc19942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2.跨境业务税收政策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_Toc19942 \h </w:instrText>
      </w:r>
      <w:r>
        <w:rPr>
          <w:rFonts w:hint="eastAsia" w:ascii="黑体" w:hAnsi="黑体" w:eastAsia="黑体" w:cs="黑体"/>
          <w:sz w:val="24"/>
        </w:rPr>
        <w:fldChar w:fldCharType="separate"/>
      </w:r>
      <w:r>
        <w:rPr>
          <w:rFonts w:hint="eastAsia" w:ascii="黑体" w:hAnsi="黑体" w:eastAsia="黑体" w:cs="黑体"/>
          <w:sz w:val="24"/>
        </w:rPr>
        <w:t>24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_Toc2736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（1）出口货物劳务退（免）税政策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_Toc2736 \h </w:instrText>
      </w:r>
      <w:r>
        <w:rPr>
          <w:rFonts w:hint="eastAsia" w:ascii="黑体" w:hAnsi="黑体" w:eastAsia="黑体" w:cs="黑体"/>
          <w:sz w:val="24"/>
        </w:rPr>
        <w:fldChar w:fldCharType="separate"/>
      </w:r>
      <w:r>
        <w:rPr>
          <w:rFonts w:hint="eastAsia" w:ascii="黑体" w:hAnsi="黑体" w:eastAsia="黑体" w:cs="黑体"/>
          <w:sz w:val="24"/>
        </w:rPr>
        <w:t>24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_Toc25313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（3）出口货物劳务免税政策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_Toc25313 \h </w:instrText>
      </w:r>
      <w:r>
        <w:rPr>
          <w:rFonts w:hint="eastAsia" w:ascii="黑体" w:hAnsi="黑体" w:eastAsia="黑体" w:cs="黑体"/>
          <w:sz w:val="24"/>
        </w:rPr>
        <w:fldChar w:fldCharType="separate"/>
      </w:r>
      <w:r>
        <w:rPr>
          <w:rFonts w:hint="eastAsia" w:ascii="黑体" w:hAnsi="黑体" w:eastAsia="黑体" w:cs="黑体"/>
          <w:sz w:val="24"/>
        </w:rPr>
        <w:t>26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_Toc21644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（4）跨境应税行为适用增值税零税率政策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_Toc21644 \h </w:instrText>
      </w:r>
      <w:r>
        <w:rPr>
          <w:rFonts w:hint="eastAsia" w:ascii="黑体" w:hAnsi="黑体" w:eastAsia="黑体" w:cs="黑体"/>
          <w:sz w:val="24"/>
        </w:rPr>
        <w:fldChar w:fldCharType="separate"/>
      </w:r>
      <w:r>
        <w:rPr>
          <w:rFonts w:hint="eastAsia" w:ascii="黑体" w:hAnsi="黑体" w:eastAsia="黑体" w:cs="黑体"/>
          <w:sz w:val="24"/>
        </w:rPr>
        <w:t>26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_Toc24322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（5）跨境应税行为适用增值税免税政策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_Toc24322 \h </w:instrText>
      </w:r>
      <w:r>
        <w:rPr>
          <w:rFonts w:hint="eastAsia" w:ascii="黑体" w:hAnsi="黑体" w:eastAsia="黑体" w:cs="黑体"/>
          <w:sz w:val="24"/>
        </w:rPr>
        <w:fldChar w:fldCharType="separate"/>
      </w:r>
      <w:r>
        <w:rPr>
          <w:rFonts w:hint="eastAsia" w:ascii="黑体" w:hAnsi="黑体" w:eastAsia="黑体" w:cs="黑体"/>
          <w:sz w:val="24"/>
        </w:rPr>
        <w:t>28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_Toc30380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3.科技创新税收政策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_Toc30380 \h </w:instrText>
      </w:r>
      <w:r>
        <w:rPr>
          <w:rFonts w:hint="eastAsia" w:ascii="黑体" w:hAnsi="黑体" w:eastAsia="黑体" w:cs="黑体"/>
          <w:sz w:val="24"/>
        </w:rPr>
        <w:fldChar w:fldCharType="separate"/>
      </w:r>
      <w:r>
        <w:rPr>
          <w:rFonts w:hint="eastAsia" w:ascii="黑体" w:hAnsi="黑体" w:eastAsia="黑体" w:cs="黑体"/>
          <w:sz w:val="24"/>
        </w:rPr>
        <w:t>29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_Toc19002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（1）研发费用加计扣除政策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_Toc19002 \h </w:instrText>
      </w:r>
      <w:r>
        <w:rPr>
          <w:rFonts w:hint="eastAsia" w:ascii="黑体" w:hAnsi="黑体" w:eastAsia="黑体" w:cs="黑体"/>
          <w:sz w:val="24"/>
        </w:rPr>
        <w:fldChar w:fldCharType="separate"/>
      </w:r>
      <w:r>
        <w:rPr>
          <w:rFonts w:hint="eastAsia" w:ascii="黑体" w:hAnsi="黑体" w:eastAsia="黑体" w:cs="黑体"/>
          <w:sz w:val="24"/>
        </w:rPr>
        <w:t>29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（2）高新技术企业减按15%税率征收企业所得税政策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_Toc222 \h </w:instrText>
      </w:r>
      <w:r>
        <w:rPr>
          <w:rFonts w:hint="eastAsia" w:ascii="黑体" w:hAnsi="黑体" w:eastAsia="黑体" w:cs="黑体"/>
          <w:sz w:val="24"/>
        </w:rPr>
        <w:fldChar w:fldCharType="separate"/>
      </w:r>
      <w:r>
        <w:rPr>
          <w:rFonts w:hint="eastAsia" w:ascii="黑体" w:hAnsi="黑体" w:eastAsia="黑体" w:cs="黑体"/>
          <w:sz w:val="24"/>
        </w:rPr>
        <w:t>31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_Toc1594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（3）技术先进型服务企业优惠政策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_Toc1594 \h </w:instrText>
      </w:r>
      <w:r>
        <w:rPr>
          <w:rFonts w:hint="eastAsia" w:ascii="黑体" w:hAnsi="黑体" w:eastAsia="黑体" w:cs="黑体"/>
          <w:sz w:val="24"/>
        </w:rPr>
        <w:fldChar w:fldCharType="separate"/>
      </w:r>
      <w:r>
        <w:rPr>
          <w:rFonts w:hint="eastAsia" w:ascii="黑体" w:hAnsi="黑体" w:eastAsia="黑体" w:cs="黑体"/>
          <w:sz w:val="24"/>
        </w:rPr>
        <w:t>33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_Toc702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（4）软件产品增值税即征即退政策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_Toc702 \h </w:instrText>
      </w:r>
      <w:r>
        <w:rPr>
          <w:rFonts w:hint="eastAsia" w:ascii="黑体" w:hAnsi="黑体" w:eastAsia="黑体" w:cs="黑体"/>
          <w:sz w:val="24"/>
        </w:rPr>
        <w:fldChar w:fldCharType="separate"/>
      </w:r>
      <w:r>
        <w:rPr>
          <w:rFonts w:hint="eastAsia" w:ascii="黑体" w:hAnsi="黑体" w:eastAsia="黑体" w:cs="黑体"/>
          <w:sz w:val="24"/>
        </w:rPr>
        <w:t>34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_Toc3605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4.关联交易等税收政策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_Toc3605 \h </w:instrText>
      </w:r>
      <w:r>
        <w:rPr>
          <w:rFonts w:hint="eastAsia" w:ascii="黑体" w:hAnsi="黑体" w:eastAsia="黑体" w:cs="黑体"/>
          <w:sz w:val="24"/>
        </w:rPr>
        <w:fldChar w:fldCharType="separate"/>
      </w:r>
      <w:r>
        <w:rPr>
          <w:rFonts w:hint="eastAsia" w:ascii="黑体" w:hAnsi="黑体" w:eastAsia="黑体" w:cs="黑体"/>
          <w:sz w:val="24"/>
        </w:rPr>
        <w:t>35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_Toc13659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（1）关联申报</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_Toc13659 \h </w:instrText>
      </w:r>
      <w:r>
        <w:rPr>
          <w:rFonts w:hint="eastAsia" w:ascii="黑体" w:hAnsi="黑体" w:eastAsia="黑体" w:cs="黑体"/>
          <w:sz w:val="24"/>
        </w:rPr>
        <w:fldChar w:fldCharType="separate"/>
      </w:r>
      <w:r>
        <w:rPr>
          <w:rFonts w:hint="eastAsia" w:ascii="黑体" w:hAnsi="黑体" w:eastAsia="黑体" w:cs="黑体"/>
          <w:sz w:val="24"/>
        </w:rPr>
        <w:t>35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_Toc16348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（2）同期资料</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_Toc16348 \h </w:instrText>
      </w:r>
      <w:r>
        <w:rPr>
          <w:rFonts w:hint="eastAsia" w:ascii="黑体" w:hAnsi="黑体" w:eastAsia="黑体" w:cs="黑体"/>
          <w:sz w:val="24"/>
        </w:rPr>
        <w:fldChar w:fldCharType="separate"/>
      </w:r>
      <w:r>
        <w:rPr>
          <w:rFonts w:hint="eastAsia" w:ascii="黑体" w:hAnsi="黑体" w:eastAsia="黑体" w:cs="黑体"/>
          <w:sz w:val="24"/>
        </w:rPr>
        <w:t>36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_Toc19149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（3）预约定价安排政策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_Toc19149 \h </w:instrText>
      </w:r>
      <w:r>
        <w:rPr>
          <w:rFonts w:hint="eastAsia" w:ascii="黑体" w:hAnsi="黑体" w:eastAsia="黑体" w:cs="黑体"/>
          <w:sz w:val="24"/>
        </w:rPr>
        <w:fldChar w:fldCharType="separate"/>
      </w:r>
      <w:r>
        <w:rPr>
          <w:rFonts w:hint="eastAsia" w:ascii="黑体" w:hAnsi="黑体" w:eastAsia="黑体" w:cs="黑体"/>
          <w:sz w:val="24"/>
        </w:rPr>
        <w:t>38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_Toc26702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5.</w:t>
      </w:r>
      <w:r>
        <w:rPr>
          <w:rFonts w:hint="eastAsia" w:ascii="黑体" w:hAnsi="黑体" w:eastAsia="黑体" w:cs="黑体"/>
          <w:bCs/>
          <w:sz w:val="24"/>
          <w:szCs w:val="24"/>
          <w:highlight w:val="none"/>
        </w:rPr>
        <w:t>绿色用能</w:t>
      </w:r>
      <w:r>
        <w:rPr>
          <w:rFonts w:hint="eastAsia" w:ascii="黑体" w:hAnsi="黑体" w:eastAsia="黑体" w:cs="黑体"/>
          <w:bCs/>
          <w:sz w:val="24"/>
          <w:szCs w:val="24"/>
          <w:highlight w:val="none"/>
          <w:lang w:eastAsia="zh-CN"/>
        </w:rPr>
        <w:t>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_Toc26702 \h </w:instrText>
      </w:r>
      <w:r>
        <w:rPr>
          <w:rFonts w:hint="eastAsia" w:ascii="黑体" w:hAnsi="黑体" w:eastAsia="黑体" w:cs="黑体"/>
          <w:sz w:val="24"/>
        </w:rPr>
        <w:fldChar w:fldCharType="separate"/>
      </w:r>
      <w:r>
        <w:rPr>
          <w:rFonts w:hint="eastAsia" w:ascii="黑体" w:hAnsi="黑体" w:eastAsia="黑体" w:cs="黑体"/>
          <w:sz w:val="24"/>
        </w:rPr>
        <w:t>39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_Toc23483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rPr>
        <w:t>节能环保、综合利用资源生产等企业所得税政策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_Toc23483 \h </w:instrText>
      </w:r>
      <w:r>
        <w:rPr>
          <w:rFonts w:hint="eastAsia" w:ascii="黑体" w:hAnsi="黑体" w:eastAsia="黑体" w:cs="黑体"/>
          <w:sz w:val="24"/>
        </w:rPr>
        <w:fldChar w:fldCharType="separate"/>
      </w:r>
      <w:r>
        <w:rPr>
          <w:rFonts w:hint="eastAsia" w:ascii="黑体" w:hAnsi="黑体" w:eastAsia="黑体" w:cs="黑体"/>
          <w:sz w:val="24"/>
        </w:rPr>
        <w:t>39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_Toc18641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（2）符合条件的从事污染防治的第三方企业减按15%税率征收企业所得税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_Toc18641 \h </w:instrText>
      </w:r>
      <w:r>
        <w:rPr>
          <w:rFonts w:hint="eastAsia" w:ascii="黑体" w:hAnsi="黑体" w:eastAsia="黑体" w:cs="黑体"/>
          <w:sz w:val="24"/>
        </w:rPr>
        <w:fldChar w:fldCharType="separate"/>
      </w:r>
      <w:r>
        <w:rPr>
          <w:rFonts w:hint="eastAsia" w:ascii="黑体" w:hAnsi="黑体" w:eastAsia="黑体" w:cs="黑体"/>
          <w:sz w:val="24"/>
        </w:rPr>
        <w:t>40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_Toc27114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（3）关于促进节能服务公司发展的税收优惠</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_Toc27114 \h </w:instrText>
      </w:r>
      <w:r>
        <w:rPr>
          <w:rFonts w:hint="eastAsia" w:ascii="黑体" w:hAnsi="黑体" w:eastAsia="黑体" w:cs="黑体"/>
          <w:sz w:val="24"/>
        </w:rPr>
        <w:fldChar w:fldCharType="separate"/>
      </w:r>
      <w:r>
        <w:rPr>
          <w:rFonts w:hint="eastAsia" w:ascii="黑体" w:hAnsi="黑体" w:eastAsia="黑体" w:cs="黑体"/>
          <w:sz w:val="24"/>
        </w:rPr>
        <w:t>41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_Toc21059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shd w:val="clear" w:color="auto" w:fill="auto"/>
          <w:lang w:val="en-US" w:eastAsia="zh-CN"/>
        </w:rPr>
        <w:t>（4）</w:t>
      </w:r>
      <w:r>
        <w:rPr>
          <w:rFonts w:hint="eastAsia" w:ascii="黑体" w:hAnsi="黑体" w:eastAsia="黑体" w:cs="黑体"/>
          <w:bCs/>
          <w:sz w:val="24"/>
          <w:szCs w:val="24"/>
          <w:highlight w:val="none"/>
        </w:rPr>
        <w:t>节能环保电池、涂料免征消费税政策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_Toc21059 \h </w:instrText>
      </w:r>
      <w:r>
        <w:rPr>
          <w:rFonts w:hint="eastAsia" w:ascii="黑体" w:hAnsi="黑体" w:eastAsia="黑体" w:cs="黑体"/>
          <w:sz w:val="24"/>
        </w:rPr>
        <w:fldChar w:fldCharType="separate"/>
      </w:r>
      <w:r>
        <w:rPr>
          <w:rFonts w:hint="eastAsia" w:ascii="黑体" w:hAnsi="黑体" w:eastAsia="黑体" w:cs="黑体"/>
          <w:sz w:val="24"/>
        </w:rPr>
        <w:t>42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_Toc26684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shd w:val="clear" w:color="auto" w:fill="auto"/>
          <w:lang w:val="en-US" w:eastAsia="zh-CN"/>
        </w:rPr>
        <w:t>（5）低浓度排放减征环境保护税政策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_Toc26684 \h </w:instrText>
      </w:r>
      <w:r>
        <w:rPr>
          <w:rFonts w:hint="eastAsia" w:ascii="黑体" w:hAnsi="黑体" w:eastAsia="黑体" w:cs="黑体"/>
          <w:sz w:val="24"/>
        </w:rPr>
        <w:fldChar w:fldCharType="separate"/>
      </w:r>
      <w:r>
        <w:rPr>
          <w:rFonts w:hint="eastAsia" w:ascii="黑体" w:hAnsi="黑体" w:eastAsia="黑体" w:cs="黑体"/>
          <w:sz w:val="24"/>
        </w:rPr>
        <w:t>42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_Toc25460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（四）撤资清算阶段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_Toc25460 \h </w:instrText>
      </w:r>
      <w:r>
        <w:rPr>
          <w:rFonts w:hint="eastAsia" w:ascii="黑体" w:hAnsi="黑体" w:eastAsia="黑体" w:cs="黑体"/>
          <w:sz w:val="24"/>
        </w:rPr>
        <w:fldChar w:fldCharType="separate"/>
      </w:r>
      <w:r>
        <w:rPr>
          <w:rFonts w:hint="eastAsia" w:ascii="黑体" w:hAnsi="黑体" w:eastAsia="黑体" w:cs="黑体"/>
          <w:sz w:val="24"/>
        </w:rPr>
        <w:t>43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_Toc31701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1.境外投资者</w:t>
      </w:r>
      <w:r>
        <w:rPr>
          <w:rFonts w:hint="eastAsia" w:ascii="黑体" w:hAnsi="黑体" w:eastAsia="黑体" w:cs="黑体"/>
          <w:bCs/>
          <w:sz w:val="24"/>
          <w:szCs w:val="24"/>
          <w:highlight w:val="none"/>
        </w:rPr>
        <w:t>股权转让</w:t>
      </w:r>
      <w:r>
        <w:rPr>
          <w:rFonts w:hint="eastAsia" w:ascii="黑体" w:hAnsi="黑体" w:eastAsia="黑体" w:cs="黑体"/>
          <w:bCs/>
          <w:sz w:val="24"/>
          <w:szCs w:val="24"/>
          <w:highlight w:val="none"/>
          <w:lang w:eastAsia="zh-CN"/>
        </w:rPr>
        <w:t>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_Toc31701 \h </w:instrText>
      </w:r>
      <w:r>
        <w:rPr>
          <w:rFonts w:hint="eastAsia" w:ascii="黑体" w:hAnsi="黑体" w:eastAsia="黑体" w:cs="黑体"/>
          <w:sz w:val="24"/>
        </w:rPr>
        <w:fldChar w:fldCharType="separate"/>
      </w:r>
      <w:r>
        <w:rPr>
          <w:rFonts w:hint="eastAsia" w:ascii="黑体" w:hAnsi="黑体" w:eastAsia="黑体" w:cs="黑体"/>
          <w:sz w:val="24"/>
        </w:rPr>
        <w:t>43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_Toc4161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（1）境内外股权和资产收购交易的特殊性税务处理</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_Toc4161 \h </w:instrText>
      </w:r>
      <w:r>
        <w:rPr>
          <w:rFonts w:hint="eastAsia" w:ascii="黑体" w:hAnsi="黑体" w:eastAsia="黑体" w:cs="黑体"/>
          <w:sz w:val="24"/>
        </w:rPr>
        <w:fldChar w:fldCharType="separate"/>
      </w:r>
      <w:r>
        <w:rPr>
          <w:rFonts w:hint="eastAsia" w:ascii="黑体" w:hAnsi="黑体" w:eastAsia="黑体" w:cs="黑体"/>
          <w:sz w:val="24"/>
        </w:rPr>
        <w:t>43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_Toc1857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rPr>
        <w:t>非居民企业股权转让适用特殊性税务处理</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_Toc1857 \h </w:instrText>
      </w:r>
      <w:r>
        <w:rPr>
          <w:rFonts w:hint="eastAsia" w:ascii="黑体" w:hAnsi="黑体" w:eastAsia="黑体" w:cs="黑体"/>
          <w:sz w:val="24"/>
        </w:rPr>
        <w:fldChar w:fldCharType="separate"/>
      </w:r>
      <w:r>
        <w:rPr>
          <w:rFonts w:hint="eastAsia" w:ascii="黑体" w:hAnsi="黑体" w:eastAsia="黑体" w:cs="黑体"/>
          <w:sz w:val="24"/>
        </w:rPr>
        <w:t>44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_Toc22467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i w:val="0"/>
          <w:iCs w:val="0"/>
          <w:caps w:val="0"/>
          <w:spacing w:val="0"/>
          <w:sz w:val="24"/>
          <w:szCs w:val="24"/>
          <w:highlight w:val="none"/>
          <w:shd w:val="clear" w:color="auto" w:fill="auto"/>
          <w:lang w:val="en-US" w:eastAsia="zh-CN"/>
        </w:rPr>
        <w:t>（3）</w:t>
      </w:r>
      <w:r>
        <w:rPr>
          <w:rFonts w:hint="eastAsia" w:ascii="黑体" w:hAnsi="黑体" w:eastAsia="黑体" w:cs="黑体"/>
          <w:bCs/>
          <w:i w:val="0"/>
          <w:iCs w:val="0"/>
          <w:caps w:val="0"/>
          <w:spacing w:val="0"/>
          <w:sz w:val="24"/>
          <w:szCs w:val="24"/>
          <w:highlight w:val="none"/>
          <w:shd w:val="clear" w:color="auto" w:fill="auto"/>
        </w:rPr>
        <w:t>技术转让所得减免企业所得税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_Toc22467 \h </w:instrText>
      </w:r>
      <w:r>
        <w:rPr>
          <w:rFonts w:hint="eastAsia" w:ascii="黑体" w:hAnsi="黑体" w:eastAsia="黑体" w:cs="黑体"/>
          <w:sz w:val="24"/>
        </w:rPr>
        <w:fldChar w:fldCharType="separate"/>
      </w:r>
      <w:r>
        <w:rPr>
          <w:rFonts w:hint="eastAsia" w:ascii="黑体" w:hAnsi="黑体" w:eastAsia="黑体" w:cs="黑体"/>
          <w:sz w:val="24"/>
        </w:rPr>
        <w:t>45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_Toc4413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i w:val="0"/>
          <w:iCs w:val="0"/>
          <w:caps w:val="0"/>
          <w:spacing w:val="0"/>
          <w:sz w:val="24"/>
          <w:szCs w:val="24"/>
          <w:highlight w:val="none"/>
          <w:shd w:val="clear" w:color="auto" w:fill="auto"/>
          <w:lang w:val="en-US" w:eastAsia="zh-CN"/>
        </w:rPr>
        <w:t>（4）技术转让免征增值税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_Toc4413 \h </w:instrText>
      </w:r>
      <w:r>
        <w:rPr>
          <w:rFonts w:hint="eastAsia" w:ascii="黑体" w:hAnsi="黑体" w:eastAsia="黑体" w:cs="黑体"/>
          <w:sz w:val="24"/>
        </w:rPr>
        <w:fldChar w:fldCharType="separate"/>
      </w:r>
      <w:r>
        <w:rPr>
          <w:rFonts w:hint="eastAsia" w:ascii="黑体" w:hAnsi="黑体" w:eastAsia="黑体" w:cs="黑体"/>
          <w:sz w:val="24"/>
        </w:rPr>
        <w:t>46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_Toc20031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i w:val="0"/>
          <w:iCs w:val="0"/>
          <w:caps w:val="0"/>
          <w:spacing w:val="0"/>
          <w:sz w:val="24"/>
          <w:szCs w:val="24"/>
          <w:highlight w:val="none"/>
          <w:shd w:val="clear" w:color="auto" w:fill="auto"/>
          <w:lang w:val="en-US" w:eastAsia="zh-CN"/>
        </w:rPr>
        <w:t>（5）股权转让有关印花税政策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_Toc20031 \h </w:instrText>
      </w:r>
      <w:r>
        <w:rPr>
          <w:rFonts w:hint="eastAsia" w:ascii="黑体" w:hAnsi="黑体" w:eastAsia="黑体" w:cs="黑体"/>
          <w:sz w:val="24"/>
        </w:rPr>
        <w:fldChar w:fldCharType="separate"/>
      </w:r>
      <w:r>
        <w:rPr>
          <w:rFonts w:hint="eastAsia" w:ascii="黑体" w:hAnsi="黑体" w:eastAsia="黑体" w:cs="黑体"/>
          <w:sz w:val="24"/>
        </w:rPr>
        <w:t>47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_Toc4888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kern w:val="0"/>
          <w:sz w:val="24"/>
          <w:szCs w:val="24"/>
          <w:highlight w:val="none"/>
          <w:shd w:val="clear" w:color="auto" w:fill="FFFFFF"/>
          <w:lang w:val="en-US" w:eastAsia="zh-CN"/>
        </w:rPr>
        <w:t>2.项目</w:t>
      </w:r>
      <w:r>
        <w:rPr>
          <w:rFonts w:hint="eastAsia" w:ascii="黑体" w:hAnsi="黑体" w:eastAsia="黑体" w:cs="黑体"/>
          <w:bCs w:val="0"/>
          <w:kern w:val="0"/>
          <w:sz w:val="24"/>
          <w:szCs w:val="24"/>
          <w:highlight w:val="none"/>
          <w:shd w:val="clear" w:color="auto" w:fill="FFFFFF"/>
        </w:rPr>
        <w:t>撤资清算</w:t>
      </w:r>
      <w:r>
        <w:rPr>
          <w:rFonts w:hint="eastAsia" w:ascii="黑体" w:hAnsi="黑体" w:eastAsia="黑体" w:cs="黑体"/>
          <w:bCs w:val="0"/>
          <w:kern w:val="0"/>
          <w:sz w:val="24"/>
          <w:szCs w:val="24"/>
          <w:highlight w:val="none"/>
          <w:shd w:val="clear" w:color="auto" w:fill="FFFFFF"/>
          <w:lang w:eastAsia="zh-CN"/>
        </w:rPr>
        <w:t>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_Toc4888 \h </w:instrText>
      </w:r>
      <w:r>
        <w:rPr>
          <w:rFonts w:hint="eastAsia" w:ascii="黑体" w:hAnsi="黑体" w:eastAsia="黑体" w:cs="黑体"/>
          <w:sz w:val="24"/>
        </w:rPr>
        <w:fldChar w:fldCharType="separate"/>
      </w:r>
      <w:r>
        <w:rPr>
          <w:rFonts w:hint="eastAsia" w:ascii="黑体" w:hAnsi="黑体" w:eastAsia="黑体" w:cs="黑体"/>
          <w:sz w:val="24"/>
        </w:rPr>
        <w:t>48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_Toc26718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kern w:val="0"/>
          <w:sz w:val="24"/>
          <w:szCs w:val="24"/>
          <w:highlight w:val="none"/>
          <w:shd w:val="clear" w:color="auto" w:fill="FFFFFF"/>
          <w:lang w:val="en-US" w:eastAsia="zh-CN"/>
        </w:rPr>
        <w:t>（1）</w:t>
      </w:r>
      <w:r>
        <w:rPr>
          <w:rFonts w:hint="eastAsia" w:ascii="黑体" w:hAnsi="黑体" w:eastAsia="黑体" w:cs="黑体"/>
          <w:bCs w:val="0"/>
          <w:kern w:val="0"/>
          <w:sz w:val="24"/>
          <w:szCs w:val="24"/>
          <w:highlight w:val="none"/>
          <w:shd w:val="clear" w:color="auto" w:fill="FFFFFF"/>
        </w:rPr>
        <w:t>企业</w:t>
      </w:r>
      <w:r>
        <w:rPr>
          <w:rFonts w:hint="eastAsia" w:ascii="黑体" w:hAnsi="黑体" w:eastAsia="黑体" w:cs="黑体"/>
          <w:bCs w:val="0"/>
          <w:kern w:val="0"/>
          <w:sz w:val="24"/>
          <w:szCs w:val="24"/>
          <w:highlight w:val="none"/>
          <w:shd w:val="clear" w:color="auto" w:fill="FFFFFF"/>
          <w:lang w:eastAsia="zh-CN"/>
        </w:rPr>
        <w:t>减资</w:t>
      </w:r>
      <w:r>
        <w:rPr>
          <w:rFonts w:hint="eastAsia" w:ascii="黑体" w:hAnsi="黑体" w:eastAsia="黑体" w:cs="黑体"/>
          <w:bCs w:val="0"/>
          <w:kern w:val="0"/>
          <w:sz w:val="24"/>
          <w:szCs w:val="24"/>
          <w:highlight w:val="none"/>
          <w:shd w:val="clear" w:color="auto" w:fill="FFFFFF"/>
        </w:rPr>
        <w:t>业务涉及税收政策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_Toc26718 \h </w:instrText>
      </w:r>
      <w:r>
        <w:rPr>
          <w:rFonts w:hint="eastAsia" w:ascii="黑体" w:hAnsi="黑体" w:eastAsia="黑体" w:cs="黑体"/>
          <w:sz w:val="24"/>
        </w:rPr>
        <w:fldChar w:fldCharType="separate"/>
      </w:r>
      <w:r>
        <w:rPr>
          <w:rFonts w:hint="eastAsia" w:ascii="黑体" w:hAnsi="黑体" w:eastAsia="黑体" w:cs="黑体"/>
          <w:sz w:val="24"/>
        </w:rPr>
        <w:t>48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630" w:leftChars="3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_Toc30405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rPr>
        <w:t>企业清算业务涉及税收政策</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_Toc30405 \h </w:instrText>
      </w:r>
      <w:r>
        <w:rPr>
          <w:rFonts w:hint="eastAsia" w:ascii="黑体" w:hAnsi="黑体" w:eastAsia="黑体" w:cs="黑体"/>
          <w:sz w:val="24"/>
        </w:rPr>
        <w:fldChar w:fldCharType="separate"/>
      </w:r>
      <w:r>
        <w:rPr>
          <w:rFonts w:hint="eastAsia" w:ascii="黑体" w:hAnsi="黑体" w:eastAsia="黑体" w:cs="黑体"/>
          <w:sz w:val="24"/>
        </w:rPr>
        <w:t>50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2"/>
        <w:tabs>
          <w:tab w:val="right" w:leader="dot" w:pos="8306"/>
        </w:tabs>
        <w:spacing w:line="360" w:lineRule="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_Toc29657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三、税收服务</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_Toc29657 \h </w:instrText>
      </w:r>
      <w:r>
        <w:rPr>
          <w:rFonts w:hint="eastAsia" w:ascii="黑体" w:hAnsi="黑体" w:eastAsia="黑体" w:cs="黑体"/>
          <w:sz w:val="24"/>
        </w:rPr>
        <w:fldChar w:fldCharType="separate"/>
      </w:r>
      <w:r>
        <w:rPr>
          <w:rFonts w:hint="eastAsia" w:ascii="黑体" w:hAnsi="黑体" w:eastAsia="黑体" w:cs="黑体"/>
          <w:sz w:val="24"/>
        </w:rPr>
        <w:t>54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_Toc19187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（一）项目投资阶段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_Toc19187 \h </w:instrText>
      </w:r>
      <w:r>
        <w:rPr>
          <w:rFonts w:hint="eastAsia" w:ascii="黑体" w:hAnsi="黑体" w:eastAsia="黑体" w:cs="黑体"/>
          <w:sz w:val="24"/>
        </w:rPr>
        <w:fldChar w:fldCharType="separate"/>
      </w:r>
      <w:r>
        <w:rPr>
          <w:rFonts w:hint="eastAsia" w:ascii="黑体" w:hAnsi="黑体" w:eastAsia="黑体" w:cs="黑体"/>
          <w:sz w:val="24"/>
        </w:rPr>
        <w:t>54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_Toc17678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1.跨境纳税人缴费人常见问题解答</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_Toc17678 \h </w:instrText>
      </w:r>
      <w:r>
        <w:rPr>
          <w:rFonts w:hint="eastAsia" w:ascii="黑体" w:hAnsi="黑体" w:eastAsia="黑体" w:cs="黑体"/>
          <w:sz w:val="24"/>
        </w:rPr>
        <w:fldChar w:fldCharType="separate"/>
      </w:r>
      <w:r>
        <w:rPr>
          <w:rFonts w:hint="eastAsia" w:ascii="黑体" w:hAnsi="黑体" w:eastAsia="黑体" w:cs="黑体"/>
          <w:sz w:val="24"/>
        </w:rPr>
        <w:t>54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_Toc18329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2.稳外贸稳外资税收政策指引</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_Toc18329 \h </w:instrText>
      </w:r>
      <w:r>
        <w:rPr>
          <w:rFonts w:hint="eastAsia" w:ascii="黑体" w:hAnsi="黑体" w:eastAsia="黑体" w:cs="黑体"/>
          <w:sz w:val="24"/>
        </w:rPr>
        <w:fldChar w:fldCharType="separate"/>
      </w:r>
      <w:r>
        <w:rPr>
          <w:rFonts w:hint="eastAsia" w:ascii="黑体" w:hAnsi="黑体" w:eastAsia="黑体" w:cs="黑体"/>
          <w:sz w:val="24"/>
        </w:rPr>
        <w:t>54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_Toc28791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（二）项目建设阶段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_Toc28791 \h </w:instrText>
      </w:r>
      <w:r>
        <w:rPr>
          <w:rFonts w:hint="eastAsia" w:ascii="黑体" w:hAnsi="黑体" w:eastAsia="黑体" w:cs="黑体"/>
          <w:sz w:val="24"/>
        </w:rPr>
        <w:fldChar w:fldCharType="separate"/>
      </w:r>
      <w:r>
        <w:rPr>
          <w:rFonts w:hint="eastAsia" w:ascii="黑体" w:hAnsi="黑体" w:eastAsia="黑体" w:cs="黑体"/>
          <w:sz w:val="24"/>
        </w:rPr>
        <w:t>55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_Toc7214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1.非居民扣缴企业所得税服务套餐</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_Toc7214 \h </w:instrText>
      </w:r>
      <w:r>
        <w:rPr>
          <w:rFonts w:hint="eastAsia" w:ascii="黑体" w:hAnsi="黑体" w:eastAsia="黑体" w:cs="黑体"/>
          <w:sz w:val="24"/>
        </w:rPr>
        <w:fldChar w:fldCharType="separate"/>
      </w:r>
      <w:r>
        <w:rPr>
          <w:rFonts w:hint="eastAsia" w:ascii="黑体" w:hAnsi="黑体" w:eastAsia="黑体" w:cs="黑体"/>
          <w:sz w:val="24"/>
        </w:rPr>
        <w:t>55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_Toc16132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2.外国商务人士在华工作生活指引</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_Toc16132 \h </w:instrText>
      </w:r>
      <w:r>
        <w:rPr>
          <w:rFonts w:hint="eastAsia" w:ascii="黑体" w:hAnsi="黑体" w:eastAsia="黑体" w:cs="黑体"/>
          <w:sz w:val="24"/>
        </w:rPr>
        <w:fldChar w:fldCharType="separate"/>
      </w:r>
      <w:r>
        <w:rPr>
          <w:rFonts w:hint="eastAsia" w:ascii="黑体" w:hAnsi="黑体" w:eastAsia="黑体" w:cs="黑体"/>
          <w:sz w:val="24"/>
        </w:rPr>
        <w:t>56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_Toc22976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3.非居民跨境办税服务</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_Toc22976 \h </w:instrText>
      </w:r>
      <w:r>
        <w:rPr>
          <w:rFonts w:hint="eastAsia" w:ascii="黑体" w:hAnsi="黑体" w:eastAsia="黑体" w:cs="黑体"/>
          <w:sz w:val="24"/>
        </w:rPr>
        <w:fldChar w:fldCharType="separate"/>
      </w:r>
      <w:r>
        <w:rPr>
          <w:rFonts w:hint="eastAsia" w:ascii="黑体" w:hAnsi="黑体" w:eastAsia="黑体" w:cs="黑体"/>
          <w:sz w:val="24"/>
        </w:rPr>
        <w:t>57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_Toc24643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（三）项目投产阶段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_Toc24643 \h </w:instrText>
      </w:r>
      <w:r>
        <w:rPr>
          <w:rFonts w:hint="eastAsia" w:ascii="黑体" w:hAnsi="黑体" w:eastAsia="黑体" w:cs="黑体"/>
          <w:sz w:val="24"/>
        </w:rPr>
        <w:fldChar w:fldCharType="separate"/>
      </w:r>
      <w:r>
        <w:rPr>
          <w:rFonts w:hint="eastAsia" w:ascii="黑体" w:hAnsi="黑体" w:eastAsia="黑体" w:cs="黑体"/>
          <w:sz w:val="24"/>
        </w:rPr>
        <w:t>57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_Toc26436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1.数电发票推行</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_Toc26436 \h </w:instrText>
      </w:r>
      <w:r>
        <w:rPr>
          <w:rFonts w:hint="eastAsia" w:ascii="黑体" w:hAnsi="黑体" w:eastAsia="黑体" w:cs="黑体"/>
          <w:sz w:val="24"/>
        </w:rPr>
        <w:fldChar w:fldCharType="separate"/>
      </w:r>
      <w:r>
        <w:rPr>
          <w:rFonts w:hint="eastAsia" w:ascii="黑体" w:hAnsi="黑体" w:eastAsia="黑体" w:cs="黑体"/>
          <w:sz w:val="24"/>
        </w:rPr>
        <w:t>57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_Toc26262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2.“乐企”自用试点</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_Toc26262 \h </w:instrText>
      </w:r>
      <w:r>
        <w:rPr>
          <w:rFonts w:hint="eastAsia" w:ascii="黑体" w:hAnsi="黑体" w:eastAsia="黑体" w:cs="黑体"/>
          <w:sz w:val="24"/>
        </w:rPr>
        <w:fldChar w:fldCharType="separate"/>
      </w:r>
      <w:r>
        <w:rPr>
          <w:rFonts w:hint="eastAsia" w:ascii="黑体" w:hAnsi="黑体" w:eastAsia="黑体" w:cs="黑体"/>
          <w:sz w:val="24"/>
        </w:rPr>
        <w:t>58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_Toc16330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（四）撤资清算阶段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_Toc16330 \h </w:instrText>
      </w:r>
      <w:r>
        <w:rPr>
          <w:rFonts w:hint="eastAsia" w:ascii="黑体" w:hAnsi="黑体" w:eastAsia="黑体" w:cs="黑体"/>
          <w:sz w:val="24"/>
        </w:rPr>
        <w:fldChar w:fldCharType="separate"/>
      </w:r>
      <w:r>
        <w:rPr>
          <w:rFonts w:hint="eastAsia" w:ascii="黑体" w:hAnsi="黑体" w:eastAsia="黑体" w:cs="黑体"/>
          <w:sz w:val="24"/>
        </w:rPr>
        <w:t>59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_Toc12833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1.企业简易注销办理</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_Toc12833 \h </w:instrText>
      </w:r>
      <w:r>
        <w:rPr>
          <w:rFonts w:hint="eastAsia" w:ascii="黑体" w:hAnsi="黑体" w:eastAsia="黑体" w:cs="黑体"/>
          <w:sz w:val="24"/>
        </w:rPr>
        <w:fldChar w:fldCharType="separate"/>
      </w:r>
      <w:r>
        <w:rPr>
          <w:rFonts w:hint="eastAsia" w:ascii="黑体" w:hAnsi="黑体" w:eastAsia="黑体" w:cs="黑体"/>
          <w:sz w:val="24"/>
        </w:rPr>
        <w:t>59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_Toc5879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2.跨区迁移业务</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_Toc5879 \h </w:instrText>
      </w:r>
      <w:r>
        <w:rPr>
          <w:rFonts w:hint="eastAsia" w:ascii="黑体" w:hAnsi="黑体" w:eastAsia="黑体" w:cs="黑体"/>
          <w:sz w:val="24"/>
        </w:rPr>
        <w:fldChar w:fldCharType="separate"/>
      </w:r>
      <w:r>
        <w:rPr>
          <w:rFonts w:hint="eastAsia" w:ascii="黑体" w:hAnsi="黑体" w:eastAsia="黑体" w:cs="黑体"/>
          <w:sz w:val="24"/>
        </w:rPr>
        <w:t>60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_Toc15954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（五）通用服务举措</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_Toc15954 \h </w:instrText>
      </w:r>
      <w:r>
        <w:rPr>
          <w:rFonts w:hint="eastAsia" w:ascii="黑体" w:hAnsi="黑体" w:eastAsia="黑体" w:cs="黑体"/>
          <w:sz w:val="24"/>
        </w:rPr>
        <w:fldChar w:fldCharType="separate"/>
      </w:r>
      <w:r>
        <w:rPr>
          <w:rFonts w:hint="eastAsia" w:ascii="黑体" w:hAnsi="黑体" w:eastAsia="黑体" w:cs="黑体"/>
          <w:sz w:val="24"/>
        </w:rPr>
        <w:t>61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_Toc14821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1.重点外资项目税费服务团队“项目长制”</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_Toc14821 \h </w:instrText>
      </w:r>
      <w:r>
        <w:rPr>
          <w:rFonts w:hint="eastAsia" w:ascii="黑体" w:hAnsi="黑体" w:eastAsia="黑体" w:cs="黑体"/>
          <w:sz w:val="24"/>
        </w:rPr>
        <w:fldChar w:fldCharType="separate"/>
      </w:r>
      <w:r>
        <w:rPr>
          <w:rFonts w:hint="eastAsia" w:ascii="黑体" w:hAnsi="黑体" w:eastAsia="黑体" w:cs="黑体"/>
          <w:sz w:val="24"/>
        </w:rPr>
        <w:t>61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_Toc17201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2.税费优惠政策精准推送</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_Toc17201 \h </w:instrText>
      </w:r>
      <w:r>
        <w:rPr>
          <w:rFonts w:hint="eastAsia" w:ascii="黑体" w:hAnsi="黑体" w:eastAsia="黑体" w:cs="黑体"/>
          <w:sz w:val="24"/>
        </w:rPr>
        <w:fldChar w:fldCharType="separate"/>
      </w:r>
      <w:r>
        <w:rPr>
          <w:rFonts w:hint="eastAsia" w:ascii="黑体" w:hAnsi="黑体" w:eastAsia="黑体" w:cs="黑体"/>
          <w:sz w:val="24"/>
        </w:rPr>
        <w:t>63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_Toc9989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3.“税路通·税收服务‘一带一路’”专栏</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_Toc9989 \h </w:instrText>
      </w:r>
      <w:r>
        <w:rPr>
          <w:rFonts w:hint="eastAsia" w:ascii="黑体" w:hAnsi="黑体" w:eastAsia="黑体" w:cs="黑体"/>
          <w:sz w:val="24"/>
        </w:rPr>
        <w:fldChar w:fldCharType="separate"/>
      </w:r>
      <w:r>
        <w:rPr>
          <w:rFonts w:hint="eastAsia" w:ascii="黑体" w:hAnsi="黑体" w:eastAsia="黑体" w:cs="黑体"/>
          <w:sz w:val="24"/>
        </w:rPr>
        <w:t>63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_Toc4558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4.12366 双语热线</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_Toc4558 \h </w:instrText>
      </w:r>
      <w:r>
        <w:rPr>
          <w:rFonts w:hint="eastAsia" w:ascii="黑体" w:hAnsi="黑体" w:eastAsia="黑体" w:cs="黑体"/>
          <w:sz w:val="24"/>
        </w:rPr>
        <w:fldChar w:fldCharType="separate"/>
      </w:r>
      <w:r>
        <w:rPr>
          <w:rFonts w:hint="eastAsia" w:ascii="黑体" w:hAnsi="黑体" w:eastAsia="黑体" w:cs="黑体"/>
          <w:sz w:val="24"/>
        </w:rPr>
        <w:t>65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_Toc13175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5.外籍个人涉税服务便捷办理</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_Toc13175 \h </w:instrText>
      </w:r>
      <w:r>
        <w:rPr>
          <w:rFonts w:hint="eastAsia" w:ascii="黑体" w:hAnsi="黑体" w:eastAsia="黑体" w:cs="黑体"/>
          <w:sz w:val="24"/>
        </w:rPr>
        <w:fldChar w:fldCharType="separate"/>
      </w:r>
      <w:r>
        <w:rPr>
          <w:rFonts w:hint="eastAsia" w:ascii="黑体" w:hAnsi="黑体" w:eastAsia="黑体" w:cs="黑体"/>
          <w:sz w:val="24"/>
        </w:rPr>
        <w:t>66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2"/>
        <w:tabs>
          <w:tab w:val="right" w:leader="dot" w:pos="8306"/>
        </w:tabs>
        <w:spacing w:line="360" w:lineRule="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_Toc2171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sz w:val="24"/>
          <w:szCs w:val="24"/>
          <w:highlight w:val="none"/>
          <w:lang w:val="en-US" w:eastAsia="zh-CN"/>
        </w:rPr>
        <w:t>四、涉税风险提示</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_Toc2171 \h </w:instrText>
      </w:r>
      <w:r>
        <w:rPr>
          <w:rFonts w:hint="eastAsia" w:ascii="黑体" w:hAnsi="黑体" w:eastAsia="黑体" w:cs="黑体"/>
          <w:sz w:val="24"/>
        </w:rPr>
        <w:fldChar w:fldCharType="separate"/>
      </w:r>
      <w:r>
        <w:rPr>
          <w:rFonts w:hint="eastAsia" w:ascii="黑体" w:hAnsi="黑体" w:eastAsia="黑体" w:cs="黑体"/>
          <w:sz w:val="24"/>
        </w:rPr>
        <w:t>67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_Toc19365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（一）项目投资阶段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_Toc19365 \h </w:instrText>
      </w:r>
      <w:r>
        <w:rPr>
          <w:rFonts w:hint="eastAsia" w:ascii="黑体" w:hAnsi="黑体" w:eastAsia="黑体" w:cs="黑体"/>
          <w:sz w:val="24"/>
        </w:rPr>
        <w:fldChar w:fldCharType="separate"/>
      </w:r>
      <w:r>
        <w:rPr>
          <w:rFonts w:hint="eastAsia" w:ascii="黑体" w:hAnsi="黑体" w:eastAsia="黑体" w:cs="黑体"/>
          <w:sz w:val="24"/>
        </w:rPr>
        <w:t>67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_Toc10998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1.投资融资</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_Toc10998 \h </w:instrText>
      </w:r>
      <w:r>
        <w:rPr>
          <w:rFonts w:hint="eastAsia" w:ascii="黑体" w:hAnsi="黑体" w:eastAsia="黑体" w:cs="黑体"/>
          <w:sz w:val="24"/>
        </w:rPr>
        <w:fldChar w:fldCharType="separate"/>
      </w:r>
      <w:r>
        <w:rPr>
          <w:rFonts w:hint="eastAsia" w:ascii="黑体" w:hAnsi="黑体" w:eastAsia="黑体" w:cs="黑体"/>
          <w:sz w:val="24"/>
        </w:rPr>
        <w:t>67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_Toc1091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（二）项目建设阶段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_Toc1091 \h </w:instrText>
      </w:r>
      <w:r>
        <w:rPr>
          <w:rFonts w:hint="eastAsia" w:ascii="黑体" w:hAnsi="黑体" w:eastAsia="黑体" w:cs="黑体"/>
          <w:sz w:val="24"/>
        </w:rPr>
        <w:fldChar w:fldCharType="separate"/>
      </w:r>
      <w:r>
        <w:rPr>
          <w:rFonts w:hint="eastAsia" w:ascii="黑体" w:hAnsi="黑体" w:eastAsia="黑体" w:cs="黑体"/>
          <w:sz w:val="24"/>
        </w:rPr>
        <w:t>67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_Toc32146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1.设备器具一次性扣除</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_Toc32146 \h </w:instrText>
      </w:r>
      <w:r>
        <w:rPr>
          <w:rFonts w:hint="eastAsia" w:ascii="黑体" w:hAnsi="黑体" w:eastAsia="黑体" w:cs="黑体"/>
          <w:sz w:val="24"/>
        </w:rPr>
        <w:fldChar w:fldCharType="separate"/>
      </w:r>
      <w:r>
        <w:rPr>
          <w:rFonts w:hint="eastAsia" w:ascii="黑体" w:hAnsi="黑体" w:eastAsia="黑体" w:cs="黑体"/>
          <w:sz w:val="24"/>
        </w:rPr>
        <w:t>67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_Toc306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2.常设机构认定</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_Toc306 \h </w:instrText>
      </w:r>
      <w:r>
        <w:rPr>
          <w:rFonts w:hint="eastAsia" w:ascii="黑体" w:hAnsi="黑体" w:eastAsia="黑体" w:cs="黑体"/>
          <w:sz w:val="24"/>
        </w:rPr>
        <w:fldChar w:fldCharType="separate"/>
      </w:r>
      <w:r>
        <w:rPr>
          <w:rFonts w:hint="eastAsia" w:ascii="黑体" w:hAnsi="黑体" w:eastAsia="黑体" w:cs="黑体"/>
          <w:sz w:val="24"/>
        </w:rPr>
        <w:t>68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_Toc27162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3.享受协定待遇</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_Toc27162 \h </w:instrText>
      </w:r>
      <w:r>
        <w:rPr>
          <w:rFonts w:hint="eastAsia" w:ascii="黑体" w:hAnsi="黑体" w:eastAsia="黑体" w:cs="黑体"/>
          <w:sz w:val="24"/>
        </w:rPr>
        <w:fldChar w:fldCharType="separate"/>
      </w:r>
      <w:r>
        <w:rPr>
          <w:rFonts w:hint="eastAsia" w:ascii="黑体" w:hAnsi="黑体" w:eastAsia="黑体" w:cs="黑体"/>
          <w:sz w:val="24"/>
        </w:rPr>
        <w:t>69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_Toc19647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（三）项目投产阶段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_Toc19647 \h </w:instrText>
      </w:r>
      <w:r>
        <w:rPr>
          <w:rFonts w:hint="eastAsia" w:ascii="黑体" w:hAnsi="黑体" w:eastAsia="黑体" w:cs="黑体"/>
          <w:sz w:val="24"/>
        </w:rPr>
        <w:fldChar w:fldCharType="separate"/>
      </w:r>
      <w:r>
        <w:rPr>
          <w:rFonts w:hint="eastAsia" w:ascii="黑体" w:hAnsi="黑体" w:eastAsia="黑体" w:cs="黑体"/>
          <w:sz w:val="24"/>
        </w:rPr>
        <w:t>69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_Toc8873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1.人才优惠</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_Toc8873 \h </w:instrText>
      </w:r>
      <w:r>
        <w:rPr>
          <w:rFonts w:hint="eastAsia" w:ascii="黑体" w:hAnsi="黑体" w:eastAsia="黑体" w:cs="黑体"/>
          <w:sz w:val="24"/>
        </w:rPr>
        <w:fldChar w:fldCharType="separate"/>
      </w:r>
      <w:r>
        <w:rPr>
          <w:rFonts w:hint="eastAsia" w:ascii="黑体" w:hAnsi="黑体" w:eastAsia="黑体" w:cs="黑体"/>
          <w:sz w:val="24"/>
        </w:rPr>
        <w:t>69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_Toc25997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2.对外支付</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_Toc25997 \h </w:instrText>
      </w:r>
      <w:r>
        <w:rPr>
          <w:rFonts w:hint="eastAsia" w:ascii="黑体" w:hAnsi="黑体" w:eastAsia="黑体" w:cs="黑体"/>
          <w:sz w:val="24"/>
        </w:rPr>
        <w:fldChar w:fldCharType="separate"/>
      </w:r>
      <w:r>
        <w:rPr>
          <w:rFonts w:hint="eastAsia" w:ascii="黑体" w:hAnsi="黑体" w:eastAsia="黑体" w:cs="黑体"/>
          <w:sz w:val="24"/>
        </w:rPr>
        <w:t>70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_Toc21609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3.研发优惠</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_Toc21609 \h </w:instrText>
      </w:r>
      <w:r>
        <w:rPr>
          <w:rFonts w:hint="eastAsia" w:ascii="黑体" w:hAnsi="黑体" w:eastAsia="黑体" w:cs="黑体"/>
          <w:sz w:val="24"/>
        </w:rPr>
        <w:fldChar w:fldCharType="separate"/>
      </w:r>
      <w:r>
        <w:rPr>
          <w:rFonts w:hint="eastAsia" w:ascii="黑体" w:hAnsi="黑体" w:eastAsia="黑体" w:cs="黑体"/>
          <w:sz w:val="24"/>
        </w:rPr>
        <w:t>71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_Toc4332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4.关联交易</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_Toc4332 \h </w:instrText>
      </w:r>
      <w:r>
        <w:rPr>
          <w:rFonts w:hint="eastAsia" w:ascii="黑体" w:hAnsi="黑体" w:eastAsia="黑体" w:cs="黑体"/>
          <w:sz w:val="24"/>
        </w:rPr>
        <w:fldChar w:fldCharType="separate"/>
      </w:r>
      <w:r>
        <w:rPr>
          <w:rFonts w:hint="eastAsia" w:ascii="黑体" w:hAnsi="黑体" w:eastAsia="黑体" w:cs="黑体"/>
          <w:sz w:val="24"/>
        </w:rPr>
        <w:t>72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_Toc28940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5.项目减免</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_Toc28940 \h </w:instrText>
      </w:r>
      <w:r>
        <w:rPr>
          <w:rFonts w:hint="eastAsia" w:ascii="黑体" w:hAnsi="黑体" w:eastAsia="黑体" w:cs="黑体"/>
          <w:sz w:val="24"/>
        </w:rPr>
        <w:fldChar w:fldCharType="separate"/>
      </w:r>
      <w:r>
        <w:rPr>
          <w:rFonts w:hint="eastAsia" w:ascii="黑体" w:hAnsi="黑体" w:eastAsia="黑体" w:cs="黑体"/>
          <w:sz w:val="24"/>
        </w:rPr>
        <w:t>73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_Toc15585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val="en-US" w:eastAsia="zh-CN"/>
        </w:rPr>
        <w:t>（四）撤资清算阶段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_Toc15585 \h </w:instrText>
      </w:r>
      <w:r>
        <w:rPr>
          <w:rFonts w:hint="eastAsia" w:ascii="黑体" w:hAnsi="黑体" w:eastAsia="黑体" w:cs="黑体"/>
          <w:sz w:val="24"/>
        </w:rPr>
        <w:fldChar w:fldCharType="separate"/>
      </w:r>
      <w:r>
        <w:rPr>
          <w:rFonts w:hint="eastAsia" w:ascii="黑体" w:hAnsi="黑体" w:eastAsia="黑体" w:cs="黑体"/>
          <w:sz w:val="24"/>
        </w:rPr>
        <w:t>73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_Toc19767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1.股权转让</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_Toc19767 \h </w:instrText>
      </w:r>
      <w:r>
        <w:rPr>
          <w:rFonts w:hint="eastAsia" w:ascii="黑体" w:hAnsi="黑体" w:eastAsia="黑体" w:cs="黑体"/>
          <w:sz w:val="24"/>
        </w:rPr>
        <w:fldChar w:fldCharType="separate"/>
      </w:r>
      <w:r>
        <w:rPr>
          <w:rFonts w:hint="eastAsia" w:ascii="黑体" w:hAnsi="黑体" w:eastAsia="黑体" w:cs="黑体"/>
          <w:sz w:val="24"/>
        </w:rPr>
        <w:t>73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_Toc22371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kern w:val="2"/>
          <w:sz w:val="24"/>
          <w:szCs w:val="24"/>
          <w:highlight w:val="none"/>
          <w:lang w:val="en-US" w:eastAsia="zh-CN" w:bidi="ar"/>
        </w:rPr>
        <w:t>2.撤资清算</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_Toc22371 \h </w:instrText>
      </w:r>
      <w:r>
        <w:rPr>
          <w:rFonts w:hint="eastAsia" w:ascii="黑体" w:hAnsi="黑体" w:eastAsia="黑体" w:cs="黑体"/>
          <w:sz w:val="24"/>
        </w:rPr>
        <w:fldChar w:fldCharType="separate"/>
      </w:r>
      <w:r>
        <w:rPr>
          <w:rFonts w:hint="eastAsia" w:ascii="黑体" w:hAnsi="黑体" w:eastAsia="黑体" w:cs="黑体"/>
          <w:sz w:val="24"/>
        </w:rPr>
        <w:t>74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2"/>
        <w:tabs>
          <w:tab w:val="right" w:leader="dot" w:pos="8306"/>
        </w:tabs>
        <w:spacing w:line="360" w:lineRule="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_Toc837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sz w:val="24"/>
          <w:szCs w:val="24"/>
          <w:highlight w:val="none"/>
          <w:lang w:eastAsia="zh-CN"/>
        </w:rPr>
        <w:t>五、常见问题解答</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_Toc837 \h </w:instrText>
      </w:r>
      <w:r>
        <w:rPr>
          <w:rFonts w:hint="eastAsia" w:ascii="黑体" w:hAnsi="黑体" w:eastAsia="黑体" w:cs="黑体"/>
          <w:sz w:val="24"/>
        </w:rPr>
        <w:fldChar w:fldCharType="separate"/>
      </w:r>
      <w:r>
        <w:rPr>
          <w:rFonts w:hint="eastAsia" w:ascii="黑体" w:hAnsi="黑体" w:eastAsia="黑体" w:cs="黑体"/>
          <w:sz w:val="24"/>
        </w:rPr>
        <w:t>75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_Toc27808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sz w:val="24"/>
          <w:szCs w:val="24"/>
          <w:highlight w:val="none"/>
          <w:lang w:val="en-US" w:eastAsia="zh-CN"/>
        </w:rPr>
        <w:t>（一）项目投资阶段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_Toc27808 \h </w:instrText>
      </w:r>
      <w:r>
        <w:rPr>
          <w:rFonts w:hint="eastAsia" w:ascii="黑体" w:hAnsi="黑体" w:eastAsia="黑体" w:cs="黑体"/>
          <w:sz w:val="24"/>
        </w:rPr>
        <w:fldChar w:fldCharType="separate"/>
      </w:r>
      <w:r>
        <w:rPr>
          <w:rFonts w:hint="eastAsia" w:ascii="黑体" w:hAnsi="黑体" w:eastAsia="黑体" w:cs="黑体"/>
          <w:sz w:val="24"/>
        </w:rPr>
        <w:t>75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_Toc17662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w:t>
      </w:r>
      <w:r>
        <w:rPr>
          <w:rFonts w:hint="eastAsia" w:ascii="黑体" w:hAnsi="黑体" w:eastAsia="黑体" w:cs="黑体"/>
          <w:bCs/>
          <w:sz w:val="24"/>
          <w:szCs w:val="24"/>
          <w:highlight w:val="none"/>
        </w:rPr>
        <w:t>是否有专门支持外国投资者在当地设立公司的政府服务？</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_Toc17662 \h </w:instrText>
      </w:r>
      <w:r>
        <w:rPr>
          <w:rFonts w:hint="eastAsia" w:ascii="黑体" w:hAnsi="黑体" w:eastAsia="黑体" w:cs="黑体"/>
          <w:sz w:val="24"/>
        </w:rPr>
        <w:fldChar w:fldCharType="separate"/>
      </w:r>
      <w:r>
        <w:rPr>
          <w:rFonts w:hint="eastAsia" w:ascii="黑体" w:hAnsi="黑体" w:eastAsia="黑体" w:cs="黑体"/>
          <w:sz w:val="24"/>
        </w:rPr>
        <w:t>75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_Toc11332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2.企业刚拿到营业执照，可以线上办理税务登记吗？</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_Toc11332 \h </w:instrText>
      </w:r>
      <w:r>
        <w:rPr>
          <w:rFonts w:hint="eastAsia" w:ascii="黑体" w:hAnsi="黑体" w:eastAsia="黑体" w:cs="黑体"/>
          <w:sz w:val="24"/>
        </w:rPr>
        <w:fldChar w:fldCharType="separate"/>
      </w:r>
      <w:r>
        <w:rPr>
          <w:rFonts w:hint="eastAsia" w:ascii="黑体" w:hAnsi="黑体" w:eastAsia="黑体" w:cs="黑体"/>
          <w:sz w:val="24"/>
        </w:rPr>
        <w:t>75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_Toc23615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3.如何在网上申请新增税（费）种认定，或查询企业已有的税（费）种认定信息？</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_Toc23615 \h </w:instrText>
      </w:r>
      <w:r>
        <w:rPr>
          <w:rFonts w:hint="eastAsia" w:ascii="黑体" w:hAnsi="黑体" w:eastAsia="黑体" w:cs="黑体"/>
          <w:sz w:val="24"/>
        </w:rPr>
        <w:fldChar w:fldCharType="separate"/>
      </w:r>
      <w:r>
        <w:rPr>
          <w:rFonts w:hint="eastAsia" w:ascii="黑体" w:hAnsi="黑体" w:eastAsia="黑体" w:cs="黑体"/>
          <w:sz w:val="24"/>
        </w:rPr>
        <w:t>75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_Toc13848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4.在新电子税局中如何变更财务负责人和办税员？</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_Toc13848 \h </w:instrText>
      </w:r>
      <w:r>
        <w:rPr>
          <w:rFonts w:hint="eastAsia" w:ascii="黑体" w:hAnsi="黑体" w:eastAsia="黑体" w:cs="黑体"/>
          <w:sz w:val="24"/>
        </w:rPr>
        <w:fldChar w:fldCharType="separate"/>
      </w:r>
      <w:r>
        <w:rPr>
          <w:rFonts w:hint="eastAsia" w:ascii="黑体" w:hAnsi="黑体" w:eastAsia="黑体" w:cs="黑体"/>
          <w:sz w:val="24"/>
        </w:rPr>
        <w:t>76</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_Toc22947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sz w:val="24"/>
          <w:szCs w:val="24"/>
          <w:highlight w:val="none"/>
          <w:lang w:val="en-US" w:eastAsia="zh-CN"/>
        </w:rPr>
        <w:t>（二）项目建设阶段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_Toc22947 \h </w:instrText>
      </w:r>
      <w:r>
        <w:rPr>
          <w:rFonts w:hint="eastAsia" w:ascii="黑体" w:hAnsi="黑体" w:eastAsia="黑体" w:cs="黑体"/>
          <w:sz w:val="24"/>
        </w:rPr>
        <w:fldChar w:fldCharType="separate"/>
      </w:r>
      <w:r>
        <w:rPr>
          <w:rFonts w:hint="eastAsia" w:ascii="黑体" w:hAnsi="黑体" w:eastAsia="黑体" w:cs="黑体"/>
          <w:sz w:val="24"/>
        </w:rPr>
        <w:t>77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_Toc20592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1.如何在新电子税局中申请发票领购？</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_Toc20592 \h </w:instrText>
      </w:r>
      <w:r>
        <w:rPr>
          <w:rFonts w:hint="eastAsia" w:ascii="黑体" w:hAnsi="黑体" w:eastAsia="黑体" w:cs="黑体"/>
          <w:sz w:val="24"/>
        </w:rPr>
        <w:fldChar w:fldCharType="separate"/>
      </w:r>
      <w:r>
        <w:rPr>
          <w:rFonts w:hint="eastAsia" w:ascii="黑体" w:hAnsi="黑体" w:eastAsia="黑体" w:cs="黑体"/>
          <w:sz w:val="24"/>
        </w:rPr>
        <w:t>77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_Toc10667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2.外商投资企业与境外公司发生业务往来，需对外支付并扣缴税款，具体如何操作？</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_Toc10667 \h </w:instrText>
      </w:r>
      <w:r>
        <w:rPr>
          <w:rFonts w:hint="eastAsia" w:ascii="黑体" w:hAnsi="黑体" w:eastAsia="黑体" w:cs="黑体"/>
          <w:sz w:val="24"/>
        </w:rPr>
        <w:fldChar w:fldCharType="separate"/>
      </w:r>
      <w:r>
        <w:rPr>
          <w:rFonts w:hint="eastAsia" w:ascii="黑体" w:hAnsi="黑体" w:eastAsia="黑体" w:cs="黑体"/>
          <w:sz w:val="24"/>
        </w:rPr>
        <w:t>77</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_Toc32583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w:t>
      </w:r>
      <w:r>
        <w:rPr>
          <w:rFonts w:hint="eastAsia" w:ascii="黑体" w:hAnsi="黑体" w:eastAsia="黑体" w:cs="黑体"/>
          <w:bCs/>
          <w:sz w:val="24"/>
          <w:szCs w:val="24"/>
          <w:highlight w:val="none"/>
        </w:rPr>
        <w:t>源泉扣缴与指定扣缴有什么区别？</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_Toc32583 \h </w:instrText>
      </w:r>
      <w:r>
        <w:rPr>
          <w:rFonts w:hint="eastAsia" w:ascii="黑体" w:hAnsi="黑体" w:eastAsia="黑体" w:cs="黑体"/>
          <w:sz w:val="24"/>
        </w:rPr>
        <w:fldChar w:fldCharType="separate"/>
      </w:r>
      <w:r>
        <w:rPr>
          <w:rFonts w:hint="eastAsia" w:ascii="黑体" w:hAnsi="黑体" w:eastAsia="黑体" w:cs="黑体"/>
          <w:sz w:val="24"/>
        </w:rPr>
        <w:t>78</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_Toc19451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w:t>
      </w:r>
      <w:r>
        <w:rPr>
          <w:rFonts w:hint="eastAsia" w:ascii="黑体" w:hAnsi="黑体" w:eastAsia="黑体" w:cs="黑体"/>
          <w:bCs/>
          <w:sz w:val="24"/>
          <w:szCs w:val="24"/>
          <w:highlight w:val="none"/>
          <w:lang w:eastAsia="zh-CN"/>
        </w:rPr>
        <w:t>什么情况下企业或个人可以向税务机关申请开具《中国税收居民身份证明》？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_Toc19451 \h </w:instrText>
      </w:r>
      <w:r>
        <w:rPr>
          <w:rFonts w:hint="eastAsia" w:ascii="黑体" w:hAnsi="黑体" w:eastAsia="黑体" w:cs="黑体"/>
          <w:sz w:val="24"/>
        </w:rPr>
        <w:fldChar w:fldCharType="separate"/>
      </w:r>
      <w:r>
        <w:rPr>
          <w:rFonts w:hint="eastAsia" w:ascii="黑体" w:hAnsi="黑体" w:eastAsia="黑体" w:cs="黑体"/>
          <w:sz w:val="24"/>
        </w:rPr>
        <w:t>79</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_Toc26872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5.如何查看企业的纳税信用级别以及扣分明细？</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_Toc26872 \h </w:instrText>
      </w:r>
      <w:r>
        <w:rPr>
          <w:rFonts w:hint="eastAsia" w:ascii="黑体" w:hAnsi="黑体" w:eastAsia="黑体" w:cs="黑体"/>
          <w:sz w:val="24"/>
        </w:rPr>
        <w:fldChar w:fldCharType="separate"/>
      </w:r>
      <w:r>
        <w:rPr>
          <w:rFonts w:hint="eastAsia" w:ascii="黑体" w:hAnsi="黑体" w:eastAsia="黑体" w:cs="黑体"/>
          <w:sz w:val="24"/>
        </w:rPr>
        <w:t>80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_Toc1443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sz w:val="24"/>
          <w:szCs w:val="24"/>
          <w:highlight w:val="none"/>
          <w:lang w:val="en-US" w:eastAsia="zh-CN"/>
        </w:rPr>
        <w:t>（三）项目投产阶段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_Toc1443 \h </w:instrText>
      </w:r>
      <w:r>
        <w:rPr>
          <w:rFonts w:hint="eastAsia" w:ascii="黑体" w:hAnsi="黑体" w:eastAsia="黑体" w:cs="黑体"/>
          <w:sz w:val="24"/>
        </w:rPr>
        <w:fldChar w:fldCharType="separate"/>
      </w:r>
      <w:r>
        <w:rPr>
          <w:rFonts w:hint="eastAsia" w:ascii="黑体" w:hAnsi="黑体" w:eastAsia="黑体" w:cs="黑体"/>
          <w:sz w:val="24"/>
        </w:rPr>
        <w:t>80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_Toc7664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1.新电子税局上线后，公司在哪里办理单位社保费业务？</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_Toc7664 \h </w:instrText>
      </w:r>
      <w:r>
        <w:rPr>
          <w:rFonts w:hint="eastAsia" w:ascii="黑体" w:hAnsi="黑体" w:eastAsia="黑体" w:cs="黑体"/>
          <w:sz w:val="24"/>
        </w:rPr>
        <w:fldChar w:fldCharType="separate"/>
      </w:r>
      <w:r>
        <w:rPr>
          <w:rFonts w:hint="eastAsia" w:ascii="黑体" w:hAnsi="黑体" w:eastAsia="黑体" w:cs="黑体"/>
          <w:sz w:val="24"/>
        </w:rPr>
        <w:t>80</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_Toc28302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w:t>
      </w:r>
      <w:r>
        <w:rPr>
          <w:rFonts w:hint="eastAsia" w:ascii="黑体" w:hAnsi="黑体" w:eastAsia="黑体" w:cs="黑体"/>
          <w:bCs/>
          <w:sz w:val="24"/>
          <w:szCs w:val="24"/>
          <w:highlight w:val="none"/>
          <w:lang w:eastAsia="zh-CN"/>
        </w:rPr>
        <w:t>外籍居民个人能同时享受“老八项”补贴个税免税和专项附加扣除吗？</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_Toc28302 \h </w:instrText>
      </w:r>
      <w:r>
        <w:rPr>
          <w:rFonts w:hint="eastAsia" w:ascii="黑体" w:hAnsi="黑体" w:eastAsia="黑体" w:cs="黑体"/>
          <w:sz w:val="24"/>
        </w:rPr>
        <w:fldChar w:fldCharType="separate"/>
      </w:r>
      <w:r>
        <w:rPr>
          <w:rFonts w:hint="eastAsia" w:ascii="黑体" w:hAnsi="黑体" w:eastAsia="黑体" w:cs="黑体"/>
          <w:sz w:val="24"/>
        </w:rPr>
        <w:t>81</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_Toc17109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w:t>
      </w:r>
      <w:r>
        <w:rPr>
          <w:rFonts w:hint="eastAsia" w:ascii="黑体" w:hAnsi="黑体" w:eastAsia="黑体" w:cs="黑体"/>
          <w:bCs/>
          <w:sz w:val="24"/>
          <w:szCs w:val="24"/>
          <w:highlight w:val="none"/>
          <w:lang w:eastAsia="zh-CN"/>
        </w:rPr>
        <w:t>企业办理出口货物退（免）税申报的程序和期限是如何规定的？</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_Toc17109 \h </w:instrText>
      </w:r>
      <w:r>
        <w:rPr>
          <w:rFonts w:hint="eastAsia" w:ascii="黑体" w:hAnsi="黑体" w:eastAsia="黑体" w:cs="黑体"/>
          <w:sz w:val="24"/>
        </w:rPr>
        <w:fldChar w:fldCharType="separate"/>
      </w:r>
      <w:r>
        <w:rPr>
          <w:rFonts w:hint="eastAsia" w:ascii="黑体" w:hAnsi="黑体" w:eastAsia="黑体" w:cs="黑体"/>
          <w:sz w:val="24"/>
        </w:rPr>
        <w:t>82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_Toc31629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4.外商投资企业与境外关联方发生关联交易时，如何进行关联申报？</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_Toc31629 \h </w:instrText>
      </w:r>
      <w:r>
        <w:rPr>
          <w:rFonts w:hint="eastAsia" w:ascii="黑体" w:hAnsi="黑体" w:eastAsia="黑体" w:cs="黑体"/>
          <w:sz w:val="24"/>
        </w:rPr>
        <w:fldChar w:fldCharType="separate"/>
      </w:r>
      <w:r>
        <w:rPr>
          <w:rFonts w:hint="eastAsia" w:ascii="黑体" w:hAnsi="黑体" w:eastAsia="黑体" w:cs="黑体"/>
          <w:sz w:val="24"/>
        </w:rPr>
        <w:t>82</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_Toc22766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5.办理纳税申报后，发现申报表存在错误该如何操作？</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_Toc22766 \h </w:instrText>
      </w:r>
      <w:r>
        <w:rPr>
          <w:rFonts w:hint="eastAsia" w:ascii="黑体" w:hAnsi="黑体" w:eastAsia="黑体" w:cs="黑体"/>
          <w:sz w:val="24"/>
        </w:rPr>
        <w:fldChar w:fldCharType="separate"/>
      </w:r>
      <w:r>
        <w:rPr>
          <w:rFonts w:hint="eastAsia" w:ascii="黑体" w:hAnsi="黑体" w:eastAsia="黑体" w:cs="黑体"/>
          <w:sz w:val="24"/>
        </w:rPr>
        <w:t>83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_Toc29083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6.如何在新电子税局中开具税收完税证明？</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_Toc29083 \h </w:instrText>
      </w:r>
      <w:r>
        <w:rPr>
          <w:rFonts w:hint="eastAsia" w:ascii="黑体" w:hAnsi="黑体" w:eastAsia="黑体" w:cs="黑体"/>
          <w:sz w:val="24"/>
        </w:rPr>
        <w:fldChar w:fldCharType="separate"/>
      </w:r>
      <w:r>
        <w:rPr>
          <w:rFonts w:hint="eastAsia" w:ascii="黑体" w:hAnsi="黑体" w:eastAsia="黑体" w:cs="黑体"/>
          <w:sz w:val="24"/>
        </w:rPr>
        <w:t>83</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_Toc21571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val="0"/>
          <w:sz w:val="24"/>
          <w:szCs w:val="24"/>
          <w:highlight w:val="none"/>
          <w:lang w:val="en-US" w:eastAsia="zh-CN"/>
        </w:rPr>
        <w:t>（四）撤资清算阶段</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_Toc21571 \h </w:instrText>
      </w:r>
      <w:r>
        <w:rPr>
          <w:rFonts w:hint="eastAsia" w:ascii="黑体" w:hAnsi="黑体" w:eastAsia="黑体" w:cs="黑体"/>
          <w:sz w:val="24"/>
        </w:rPr>
        <w:fldChar w:fldCharType="separate"/>
      </w:r>
      <w:r>
        <w:rPr>
          <w:rFonts w:hint="eastAsia" w:ascii="黑体" w:hAnsi="黑体" w:eastAsia="黑体" w:cs="黑体"/>
          <w:sz w:val="24"/>
        </w:rPr>
        <w:t>84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_Toc5065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1.外商投资企业的境外投资方（股东）发生变更，需要进行变更登记吗？</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_Toc5065 \h </w:instrText>
      </w:r>
      <w:r>
        <w:rPr>
          <w:rFonts w:hint="eastAsia" w:ascii="黑体" w:hAnsi="黑体" w:eastAsia="黑体" w:cs="黑体"/>
          <w:sz w:val="24"/>
        </w:rPr>
        <w:fldChar w:fldCharType="separate"/>
      </w:r>
      <w:r>
        <w:rPr>
          <w:rFonts w:hint="eastAsia" w:ascii="黑体" w:hAnsi="黑体" w:eastAsia="黑体" w:cs="黑体"/>
          <w:sz w:val="24"/>
        </w:rPr>
        <w:t>84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_Toc12380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2.外商投资企业如何办理企业注销税务登记？</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_Toc12380 \h </w:instrText>
      </w:r>
      <w:r>
        <w:rPr>
          <w:rFonts w:hint="eastAsia" w:ascii="黑体" w:hAnsi="黑体" w:eastAsia="黑体" w:cs="黑体"/>
          <w:sz w:val="24"/>
        </w:rPr>
        <w:fldChar w:fldCharType="separate"/>
      </w:r>
      <w:r>
        <w:rPr>
          <w:rFonts w:hint="eastAsia" w:ascii="黑体" w:hAnsi="黑体" w:eastAsia="黑体" w:cs="黑体"/>
          <w:sz w:val="24"/>
        </w:rPr>
        <w:t>84</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0" w:leftChars="200"/>
        <w:textAlignment w:val="auto"/>
        <w:rPr>
          <w:rFonts w:hint="eastAsia" w:ascii="黑体" w:hAnsi="黑体" w:eastAsia="黑体" w:cs="黑体"/>
          <w:sz w:val="24"/>
        </w:rPr>
      </w:pPr>
      <w:r>
        <w:rPr>
          <w:rFonts w:hint="eastAsia" w:ascii="黑体" w:hAnsi="黑体" w:eastAsia="黑体" w:cs="黑体"/>
          <w:color w:val="auto"/>
          <w:sz w:val="24"/>
          <w:szCs w:val="24"/>
          <w:highlight w:val="none"/>
          <w:lang w:val="en-US" w:eastAsia="zh-CN"/>
        </w:rPr>
        <w:fldChar w:fldCharType="begin"/>
      </w:r>
      <w:r>
        <w:rPr>
          <w:rFonts w:hint="eastAsia" w:ascii="黑体" w:hAnsi="黑体" w:eastAsia="黑体" w:cs="黑体"/>
          <w:sz w:val="24"/>
          <w:szCs w:val="24"/>
          <w:highlight w:val="none"/>
          <w:lang w:val="en-US" w:eastAsia="zh-CN"/>
        </w:rPr>
        <w:instrText xml:space="preserve"> HYPERLINK \l _Toc28017 </w:instrText>
      </w:r>
      <w:r>
        <w:rPr>
          <w:rFonts w:hint="eastAsia" w:ascii="黑体" w:hAnsi="黑体" w:eastAsia="黑体" w:cs="黑体"/>
          <w:sz w:val="24"/>
          <w:szCs w:val="24"/>
          <w:highlight w:val="none"/>
          <w:lang w:val="en-US" w:eastAsia="zh-CN"/>
        </w:rPr>
        <w:fldChar w:fldCharType="separate"/>
      </w:r>
      <w:r>
        <w:rPr>
          <w:rFonts w:hint="eastAsia" w:ascii="黑体" w:hAnsi="黑体" w:eastAsia="黑体" w:cs="黑体"/>
          <w:bCs/>
          <w:sz w:val="24"/>
          <w:szCs w:val="24"/>
          <w:highlight w:val="none"/>
          <w:lang w:val="en-US" w:eastAsia="zh-CN"/>
        </w:rPr>
        <w:t>3.我公司是一家出口企业，现因经营不善需要注销税务登记，请问，是否需要办理出口退（免）税备案撤回？</w:t>
      </w:r>
      <w:r>
        <w:rPr>
          <w:rFonts w:hint="eastAsia" w:ascii="黑体" w:hAnsi="黑体" w:eastAsia="黑体" w:cs="黑体"/>
          <w:sz w:val="24"/>
        </w:rPr>
        <w:tab/>
      </w:r>
      <w:r>
        <w:rPr>
          <w:rFonts w:hint="eastAsia" w:ascii="黑体" w:hAnsi="黑体" w:eastAsia="黑体" w:cs="黑体"/>
          <w:sz w:val="24"/>
        </w:rPr>
        <w:fldChar w:fldCharType="begin"/>
      </w:r>
      <w:r>
        <w:rPr>
          <w:rFonts w:hint="eastAsia" w:ascii="黑体" w:hAnsi="黑体" w:eastAsia="黑体" w:cs="黑体"/>
          <w:sz w:val="24"/>
        </w:rPr>
        <w:instrText xml:space="preserve"> PAGEREF _Toc28017 \h </w:instrText>
      </w:r>
      <w:r>
        <w:rPr>
          <w:rFonts w:hint="eastAsia" w:ascii="黑体" w:hAnsi="黑体" w:eastAsia="黑体" w:cs="黑体"/>
          <w:sz w:val="24"/>
        </w:rPr>
        <w:fldChar w:fldCharType="separate"/>
      </w:r>
      <w:r>
        <w:rPr>
          <w:rFonts w:hint="eastAsia" w:ascii="黑体" w:hAnsi="黑体" w:eastAsia="黑体" w:cs="黑体"/>
          <w:sz w:val="24"/>
        </w:rPr>
        <w:t>85</w:t>
      </w:r>
      <w:r>
        <w:rPr>
          <w:rFonts w:hint="eastAsia" w:ascii="黑体" w:hAnsi="黑体" w:eastAsia="黑体" w:cs="黑体"/>
          <w:sz w:val="24"/>
        </w:rPr>
        <w:fldChar w:fldCharType="end"/>
      </w:r>
      <w:r>
        <w:rPr>
          <w:rFonts w:hint="eastAsia" w:ascii="黑体" w:hAnsi="黑体" w:eastAsia="黑体" w:cs="黑体"/>
          <w:color w:val="auto"/>
          <w:sz w:val="24"/>
          <w:szCs w:val="24"/>
          <w:highlight w:val="none"/>
          <w:lang w:val="en-US" w:eastAsia="zh-CN"/>
        </w:rPr>
        <w:fldChar w:fldCharType="end"/>
      </w:r>
    </w:p>
    <w:p>
      <w:pPr>
        <w:pStyle w:val="5"/>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fldChar w:fldCharType="end"/>
      </w:r>
    </w:p>
    <w:p>
      <w:pPr>
        <w:spacing w:line="360" w:lineRule="auto"/>
        <w:outlineLvl w:val="0"/>
        <w:rPr>
          <w:rFonts w:hint="eastAsia" w:ascii="黑体" w:hAnsi="黑体" w:eastAsia="黑体" w:cs="黑体"/>
          <w:color w:val="auto"/>
          <w:sz w:val="24"/>
          <w:szCs w:val="24"/>
          <w:highlight w:val="none"/>
          <w:lang w:val="en-US" w:eastAsia="zh-CN"/>
        </w:rPr>
        <w:sectPr>
          <w:footerReference r:id="rId5" w:type="default"/>
          <w:pgSz w:w="11906" w:h="16838"/>
          <w:pgMar w:top="1440" w:right="1757" w:bottom="1440" w:left="1757" w:header="851" w:footer="992" w:gutter="0"/>
          <w:pgNumType w:start="1"/>
          <w:cols w:space="0" w:num="1"/>
          <w:rtlGutter w:val="0"/>
          <w:docGrid w:type="lines" w:linePitch="312" w:charSpace="0"/>
        </w:sectPr>
      </w:pPr>
      <w:bookmarkStart w:id="0" w:name="_Toc19052"/>
    </w:p>
    <w:p>
      <w:pPr>
        <w:outlineLvl w:val="0"/>
        <w:rPr>
          <w:rFonts w:hint="eastAsia" w:ascii="黑体" w:hAnsi="黑体" w:eastAsia="黑体" w:cs="黑体"/>
          <w:color w:val="auto"/>
          <w:sz w:val="32"/>
          <w:szCs w:val="32"/>
          <w:highlight w:val="none"/>
          <w:lang w:val="en-US" w:eastAsia="zh-CN"/>
        </w:rPr>
      </w:pPr>
      <w:bookmarkStart w:id="1" w:name="_Toc16244"/>
      <w:r>
        <w:rPr>
          <w:rFonts w:hint="eastAsia" w:ascii="黑体" w:hAnsi="黑体" w:eastAsia="黑体" w:cs="黑体"/>
          <w:color w:val="auto"/>
          <w:sz w:val="32"/>
          <w:szCs w:val="32"/>
          <w:highlight w:val="none"/>
          <w:lang w:val="en-US" w:eastAsia="zh-CN"/>
        </w:rPr>
        <w:t>一、外商投资项目概述</w:t>
      </w:r>
      <w:bookmarkEnd w:id="0"/>
      <w:bookmarkEnd w:id="1"/>
    </w:p>
    <w:p>
      <w:pPr>
        <w:outlineLvl w:val="1"/>
        <w:rPr>
          <w:rFonts w:hint="eastAsia" w:ascii="楷体" w:hAnsi="楷体" w:eastAsia="楷体" w:cs="楷体"/>
          <w:color w:val="auto"/>
          <w:sz w:val="32"/>
          <w:szCs w:val="32"/>
          <w:highlight w:val="none"/>
          <w:lang w:val="en-US" w:eastAsia="zh-CN"/>
        </w:rPr>
      </w:pPr>
      <w:bookmarkStart w:id="2" w:name="_Toc17965"/>
      <w:bookmarkStart w:id="3" w:name="_Toc6569"/>
      <w:r>
        <w:rPr>
          <w:rFonts w:hint="eastAsia" w:ascii="楷体" w:hAnsi="楷体" w:eastAsia="楷体" w:cs="楷体"/>
          <w:color w:val="auto"/>
          <w:sz w:val="32"/>
          <w:szCs w:val="32"/>
          <w:highlight w:val="none"/>
          <w:lang w:val="en-US" w:eastAsia="zh-CN"/>
        </w:rPr>
        <w:t>（一）外商投资项目流程简介</w:t>
      </w:r>
      <w:bookmarkEnd w:id="2"/>
      <w:bookmarkEnd w:id="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外商投资项目从意向投资到项目落地，需要经历多部门、多环节的筹备和审核，具体投资流程参考如下：</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eastAsia="仿宋_GB2312"/>
          <w:b/>
          <w:bCs/>
          <w:color w:val="auto"/>
          <w:sz w:val="32"/>
          <w:szCs w:val="32"/>
          <w:highlight w:val="none"/>
          <w:lang w:val="en-US" w:eastAsia="zh-CN"/>
        </w:rPr>
      </w:pPr>
      <w:bookmarkStart w:id="4" w:name="_Toc10898"/>
      <w:bookmarkStart w:id="5" w:name="_Toc10464"/>
      <w:r>
        <w:rPr>
          <w:rFonts w:hint="eastAsia" w:ascii="仿宋_GB2312" w:eastAsia="仿宋_GB2312"/>
          <w:b/>
          <w:bCs/>
          <w:color w:val="auto"/>
          <w:sz w:val="32"/>
          <w:szCs w:val="32"/>
          <w:highlight w:val="none"/>
          <w:lang w:val="en-US" w:eastAsia="zh-CN"/>
        </w:rPr>
        <w:t>1.前期准备</w:t>
      </w:r>
      <w:bookmarkEnd w:id="4"/>
      <w:bookmarkEnd w:id="5"/>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（1）市场调研与项目确认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确定投资行业及项目，核查是否属于《外商投资准入特别管理措施（负面清单）》中的限制或禁止类领域。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了解地方政策、税收优惠（如自贸区、开发区政策）及行业特殊要求。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（2）签署意向文件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与中方合作伙伴（如合资）签订《投资意向书》或《备忘录》。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（3）企业名称预先核准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通过国家市场监督管理总局或地方市场监管局在线提交名称预核准申请，获取《企业名称预先核准通知书》。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（4）准备申请材料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根据企业类型准备文件，包括：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投资方主体资格证明（如境外公司注册文件、公证认证件）。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法定代表人及董事、监事任命文件。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公司章程（合资企业需提交合资合同）。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注册地址证明（租赁合同或产权证明）。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可行性研究报告（部分行业需要）。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资信证明（银行出具的投资方资金能力证明）。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eastAsia="仿宋_GB2312"/>
          <w:b/>
          <w:bCs/>
          <w:color w:val="auto"/>
          <w:sz w:val="32"/>
          <w:szCs w:val="32"/>
          <w:highlight w:val="none"/>
          <w:lang w:val="en-US" w:eastAsia="zh-CN"/>
        </w:rPr>
      </w:pPr>
      <w:bookmarkStart w:id="6" w:name="_Toc16684"/>
      <w:bookmarkStart w:id="7" w:name="_Toc30290"/>
      <w:r>
        <w:rPr>
          <w:rFonts w:hint="eastAsia" w:ascii="仿宋_GB2312" w:eastAsia="仿宋_GB2312"/>
          <w:b/>
          <w:bCs/>
          <w:color w:val="auto"/>
          <w:sz w:val="32"/>
          <w:szCs w:val="32"/>
          <w:highlight w:val="none"/>
          <w:lang w:val="en-US" w:eastAsia="zh-CN"/>
        </w:rPr>
        <w:t>2.商务备案/审批</w:t>
      </w:r>
      <w:bookmarkEnd w:id="6"/>
      <w:bookmarkEnd w:id="7"/>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（1）商务部门备案或审批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负面清单外项目：通过“外商投资综合管理信息系统”在线提交备案（通常1-3个工作日完成）。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0" w:firstLineChars="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负面清单内项目：向当地商务部门提交审批申请，需提供项目说明、行业主管部门意见等。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eastAsia="仿宋_GB2312"/>
          <w:b/>
          <w:bCs/>
          <w:color w:val="auto"/>
          <w:sz w:val="32"/>
          <w:szCs w:val="32"/>
          <w:highlight w:val="none"/>
          <w:lang w:val="en-US" w:eastAsia="zh-CN"/>
        </w:rPr>
      </w:pPr>
      <w:bookmarkStart w:id="8" w:name="_Toc1802"/>
      <w:bookmarkStart w:id="9" w:name="_Toc27025"/>
      <w:r>
        <w:rPr>
          <w:rFonts w:hint="eastAsia" w:ascii="仿宋_GB2312" w:eastAsia="仿宋_GB2312"/>
          <w:b/>
          <w:bCs/>
          <w:color w:val="auto"/>
          <w:sz w:val="32"/>
          <w:szCs w:val="32"/>
          <w:highlight w:val="none"/>
          <w:lang w:val="en-US" w:eastAsia="zh-CN"/>
        </w:rPr>
        <w:t>3.注册登记</w:t>
      </w:r>
      <w:bookmarkEnd w:id="8"/>
      <w:bookmarkEnd w:id="9"/>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（1）办理营业执照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向市场监管局提交材料（包括商务备案回执），领取《营业执照》。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（2）外汇登记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向外汇管理局办理外汇登记，取得《业务登记凭证》，开立资本金账户。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（3）银行开户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开立基本存款账户（人民币账户）和资本金账户（外币账户）。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（4）税务登记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在税务机关办理税务登记，领取税务UKey，核定税种，需签订三方协议（银行、企业、税务）。</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（5）社保与公积金开户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在社保局和公积金管理中心为企业员工办理开户。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（6）海关备案（如需）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从事进出口业务的企业需办理海关备案，取得《报关单位注册登记证书》。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仿宋_GB2312" w:eastAsia="仿宋_GB2312"/>
          <w:b/>
          <w:bCs/>
          <w:color w:val="auto"/>
          <w:sz w:val="32"/>
          <w:szCs w:val="32"/>
          <w:highlight w:val="none"/>
          <w:lang w:val="en-US" w:eastAsia="zh-CN"/>
        </w:rPr>
      </w:pPr>
      <w:bookmarkStart w:id="10" w:name="_Toc4919"/>
      <w:bookmarkStart w:id="11" w:name="_Toc7331"/>
      <w:r>
        <w:rPr>
          <w:rFonts w:hint="eastAsia" w:ascii="仿宋_GB2312" w:eastAsia="仿宋_GB2312"/>
          <w:b/>
          <w:bCs/>
          <w:color w:val="auto"/>
          <w:sz w:val="32"/>
          <w:szCs w:val="32"/>
          <w:highlight w:val="none"/>
          <w:lang w:val="en-US" w:eastAsia="zh-CN"/>
        </w:rPr>
        <w:t>4.</w:t>
      </w:r>
      <w:r>
        <w:rPr>
          <w:rFonts w:hint="default" w:ascii="仿宋_GB2312" w:eastAsia="仿宋_GB2312"/>
          <w:b/>
          <w:bCs/>
          <w:color w:val="auto"/>
          <w:sz w:val="32"/>
          <w:szCs w:val="32"/>
          <w:highlight w:val="none"/>
          <w:lang w:val="en-US" w:eastAsia="zh-CN"/>
        </w:rPr>
        <w:t>建设阶段</w:t>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w:t>
      </w:r>
      <w:r>
        <w:rPr>
          <w:rFonts w:hint="default" w:ascii="仿宋_GB2312" w:eastAsia="仿宋_GB2312"/>
          <w:color w:val="auto"/>
          <w:sz w:val="32"/>
          <w:szCs w:val="32"/>
          <w:highlight w:val="none"/>
          <w:lang w:val="en-US" w:eastAsia="zh-CN"/>
        </w:rPr>
        <w:t xml:space="preserve">项目审批与备案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项目核准/备案：向地方发改委或工信部门申请项目核准（重大或限制类项目）或备案（鼓励类、允许类项目），取得《项目核准/备案通知书》。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环境影响评价（环评）：委托第三方机构编制环评报告，报生态环境部门审批，获得《环评批复》。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节能评估（如适用）：高能耗项目需提交节能报告并获批。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w:t>
      </w:r>
      <w:r>
        <w:rPr>
          <w:rFonts w:hint="default" w:ascii="仿宋_GB2312" w:eastAsia="仿宋_GB2312"/>
          <w:color w:val="auto"/>
          <w:sz w:val="32"/>
          <w:szCs w:val="32"/>
          <w:highlight w:val="none"/>
          <w:lang w:val="en-US" w:eastAsia="zh-CN"/>
        </w:rPr>
        <w:t>土地与规划</w:t>
      </w:r>
      <w:r>
        <w:rPr>
          <w:rFonts w:hint="eastAsia" w:ascii="仿宋_GB2312" w:eastAsia="仿宋_GB2312"/>
          <w:color w:val="auto"/>
          <w:sz w:val="32"/>
          <w:szCs w:val="32"/>
          <w:highlight w:val="none"/>
          <w:lang w:val="en-US" w:eastAsia="zh-CN"/>
        </w:rPr>
        <w:t>建设</w:t>
      </w:r>
      <w:r>
        <w:rPr>
          <w:rFonts w:hint="default" w:ascii="仿宋_GB2312" w:eastAsia="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用地申请：通过招拍挂或协议出让方式取得土地使用权，签订《土地出让合同》，办理《建设用地规划许可证》《不动产权证》。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规划设计：委托设计院编制规划方案，提交自然资源局审批，取得《建设工程规划许可证》。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开工建设：按规划施工，接受住建、消防、环保等部门的现场检查。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w:t>
      </w:r>
      <w:r>
        <w:rPr>
          <w:rFonts w:hint="default" w:ascii="仿宋_GB2312" w:eastAsia="仿宋_GB2312"/>
          <w:color w:val="auto"/>
          <w:sz w:val="32"/>
          <w:szCs w:val="32"/>
          <w:highlight w:val="none"/>
          <w:lang w:val="en-US" w:eastAsia="zh-CN"/>
        </w:rPr>
        <w:t xml:space="preserve">竣工验收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联合验收：工程竣工后，组织规划、消防、环保、质监等部门进行验收，取得《竣工验收备案表》。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消防验收：单独向消防部门申请验收（部分项目与联合验收合并）。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环保验收：根据环评批复要求完成验收（如废水、废气处理设施）。</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仿宋_GB2312" w:eastAsia="仿宋_GB2312"/>
          <w:b/>
          <w:bCs/>
          <w:color w:val="auto"/>
          <w:sz w:val="32"/>
          <w:szCs w:val="32"/>
          <w:highlight w:val="none"/>
          <w:lang w:val="en-US" w:eastAsia="zh-CN"/>
        </w:rPr>
      </w:pPr>
      <w:bookmarkStart w:id="12" w:name="_Toc14193"/>
      <w:bookmarkStart w:id="13" w:name="_Toc11210"/>
      <w:r>
        <w:rPr>
          <w:rFonts w:hint="eastAsia" w:ascii="仿宋_GB2312" w:eastAsia="仿宋_GB2312"/>
          <w:b/>
          <w:bCs/>
          <w:color w:val="auto"/>
          <w:sz w:val="32"/>
          <w:szCs w:val="32"/>
          <w:highlight w:val="none"/>
          <w:lang w:val="en-US" w:eastAsia="zh-CN"/>
        </w:rPr>
        <w:t>5.</w:t>
      </w:r>
      <w:r>
        <w:rPr>
          <w:rFonts w:hint="default" w:ascii="仿宋_GB2312" w:eastAsia="仿宋_GB2312"/>
          <w:b/>
          <w:bCs/>
          <w:color w:val="auto"/>
          <w:sz w:val="32"/>
          <w:szCs w:val="32"/>
          <w:highlight w:val="none"/>
          <w:lang w:val="en-US" w:eastAsia="zh-CN"/>
        </w:rPr>
        <w:t>运营阶段</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w:t>
      </w:r>
      <w:r>
        <w:rPr>
          <w:rFonts w:hint="default" w:ascii="仿宋_GB2312" w:eastAsia="仿宋_GB2312"/>
          <w:color w:val="auto"/>
          <w:sz w:val="32"/>
          <w:szCs w:val="32"/>
          <w:highlight w:val="none"/>
          <w:lang w:val="en-US" w:eastAsia="zh-CN"/>
        </w:rPr>
        <w:t>正式投产准备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生产许可：涉及食品、药品、医疗器械等行业需申请《生产许可证》。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质量体系认证：如ISO 9001、ISO 14001等（部分行业强制要求）。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设备调试与试生产：需向应急管理、环保部门备案试运行计划。</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w:t>
      </w:r>
      <w:r>
        <w:rPr>
          <w:rFonts w:hint="default" w:ascii="仿宋_GB2312" w:eastAsia="仿宋_GB2312"/>
          <w:color w:val="auto"/>
          <w:sz w:val="32"/>
          <w:szCs w:val="32"/>
          <w:highlight w:val="none"/>
          <w:lang w:val="en-US" w:eastAsia="zh-CN"/>
        </w:rPr>
        <w:t xml:space="preserve">日常运营管理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税务申报：按月/季申报增值税、企业所得税等，年度汇算清缴。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海关事务（如涉及进出口）：办理电子口岸卡、定期申报关税及报关数据。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外汇管理：资本金结汇、利润汇出需按外汇局规定操作。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劳动用工：签订劳动合同、缴纳社保公积金，遵守《劳动合同法》。</w:t>
      </w:r>
    </w:p>
    <w:p>
      <w:pPr>
        <w:keepNext w:val="0"/>
        <w:keepLines w:val="0"/>
        <w:pageBreakBefore w:val="0"/>
        <w:widowControl w:val="0"/>
        <w:tabs>
          <w:tab w:val="left" w:pos="696"/>
        </w:tabs>
        <w:kinsoku/>
        <w:wordWrap/>
        <w:overflowPunct/>
        <w:topLinePunct w:val="0"/>
        <w:autoSpaceDE/>
        <w:autoSpaceDN/>
        <w:bidi w:val="0"/>
        <w:adjustRightInd/>
        <w:snapToGrid/>
        <w:spacing w:line="360" w:lineRule="auto"/>
        <w:jc w:val="both"/>
        <w:textAlignment w:val="auto"/>
        <w:outlineLvl w:val="2"/>
        <w:rPr>
          <w:rFonts w:hint="default" w:ascii="仿宋_GB2312" w:eastAsia="仿宋_GB2312"/>
          <w:b/>
          <w:bCs/>
          <w:color w:val="auto"/>
          <w:sz w:val="32"/>
          <w:szCs w:val="32"/>
          <w:highlight w:val="none"/>
          <w:lang w:val="en-US" w:eastAsia="zh-CN"/>
        </w:rPr>
      </w:pPr>
      <w:bookmarkStart w:id="14" w:name="_Toc22772"/>
      <w:bookmarkStart w:id="15" w:name="_Toc2607"/>
      <w:r>
        <w:rPr>
          <w:rFonts w:hint="eastAsia" w:ascii="仿宋_GB2312" w:eastAsia="仿宋_GB2312"/>
          <w:b/>
          <w:bCs/>
          <w:color w:val="auto"/>
          <w:sz w:val="32"/>
          <w:szCs w:val="32"/>
          <w:highlight w:val="none"/>
          <w:lang w:val="en-US" w:eastAsia="zh-CN"/>
        </w:rPr>
        <w:t>6.</w:t>
      </w:r>
      <w:r>
        <w:rPr>
          <w:rFonts w:hint="default" w:ascii="仿宋_GB2312" w:eastAsia="仿宋_GB2312"/>
          <w:b/>
          <w:bCs/>
          <w:color w:val="auto"/>
          <w:sz w:val="32"/>
          <w:szCs w:val="32"/>
          <w:highlight w:val="none"/>
          <w:lang w:val="en-US" w:eastAsia="zh-CN"/>
        </w:rPr>
        <w:t>变更与退出阶段</w:t>
      </w:r>
      <w:bookmarkEnd w:id="14"/>
      <w:bookmarkEnd w:id="15"/>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w:t>
      </w:r>
      <w:r>
        <w:rPr>
          <w:rFonts w:hint="default" w:ascii="仿宋_GB2312" w:eastAsia="仿宋_GB2312"/>
          <w:color w:val="auto"/>
          <w:sz w:val="32"/>
          <w:szCs w:val="32"/>
          <w:highlight w:val="none"/>
          <w:lang w:val="en-US" w:eastAsia="zh-CN"/>
        </w:rPr>
        <w:t xml:space="preserve">企业变更（如股权转让、增资、地址变更等）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向商务部门备案/审批，完成工商变更登记，同步更新外汇、税务等信息。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w:t>
      </w:r>
      <w:r>
        <w:rPr>
          <w:rFonts w:hint="default" w:ascii="仿宋_GB2312" w:eastAsia="仿宋_GB2312"/>
          <w:color w:val="auto"/>
          <w:sz w:val="32"/>
          <w:szCs w:val="32"/>
          <w:highlight w:val="none"/>
          <w:lang w:val="en-US" w:eastAsia="zh-CN"/>
        </w:rPr>
        <w:t>解散与清算</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股东决议：通过解散决议，成立清算组。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税务注销：结清税款，取得《清税证明》。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 xml:space="preserve">工商注销：公示45天后提交注销申请。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外汇注销：关闭外汇账户，完成外汇登记注销。</w:t>
      </w:r>
    </w:p>
    <w:p>
      <w:pPr>
        <w:rPr>
          <w:rFonts w:hint="eastAsia" w:ascii="楷体" w:hAnsi="楷体" w:eastAsia="楷体" w:cs="楷体"/>
          <w:color w:val="auto"/>
          <w:sz w:val="32"/>
          <w:szCs w:val="32"/>
          <w:highlight w:val="none"/>
          <w:lang w:val="en-US" w:eastAsia="zh-CN"/>
        </w:rPr>
      </w:pPr>
    </w:p>
    <w:p>
      <w:pPr>
        <w:outlineLvl w:val="1"/>
        <w:rPr>
          <w:rFonts w:hint="eastAsia" w:ascii="楷体" w:hAnsi="楷体" w:eastAsia="楷体" w:cs="楷体"/>
          <w:color w:val="auto"/>
          <w:sz w:val="32"/>
          <w:szCs w:val="32"/>
          <w:highlight w:val="none"/>
          <w:lang w:val="en-US" w:eastAsia="zh-CN"/>
        </w:rPr>
      </w:pPr>
      <w:bookmarkStart w:id="16" w:name="_Toc8773"/>
      <w:bookmarkStart w:id="17" w:name="_Toc10977"/>
      <w:r>
        <w:rPr>
          <w:rFonts w:hint="eastAsia" w:ascii="楷体" w:hAnsi="楷体" w:eastAsia="楷体" w:cs="楷体"/>
          <w:color w:val="auto"/>
          <w:sz w:val="32"/>
          <w:szCs w:val="32"/>
          <w:highlight w:val="none"/>
          <w:lang w:val="en-US" w:eastAsia="zh-CN"/>
        </w:rPr>
        <w:t>（二）外商投资项目全周期</w:t>
      </w:r>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外商投资项目的全生命周期普遍具有四个阶段，‌分别是项目</w:t>
      </w:r>
      <w:r>
        <w:rPr>
          <w:rFonts w:hint="eastAsia" w:ascii="仿宋_GB2312" w:hAnsi="仿宋_GB2312" w:eastAsia="仿宋_GB2312" w:cs="仿宋_GB2312"/>
          <w:color w:val="auto"/>
          <w:sz w:val="32"/>
          <w:szCs w:val="40"/>
          <w:highlight w:val="none"/>
          <w:lang w:val="en-US" w:eastAsia="zh-CN"/>
        </w:rPr>
        <w:t>投资阶段、建设阶段、投产阶段和撤资清算阶段</w:t>
      </w:r>
      <w:r>
        <w:rPr>
          <w:rFonts w:hint="eastAsia" w:ascii="仿宋_GB2312" w:eastAsia="仿宋_GB2312"/>
          <w:color w:val="auto"/>
          <w:sz w:val="32"/>
          <w:szCs w:val="32"/>
          <w:highlight w:val="none"/>
          <w:lang w:val="en-US" w:eastAsia="zh-CN"/>
        </w:rPr>
        <w:t>，‌每个阶段具备特定任务和时间要求，‌以下是外商投资项目全生命周期的主要内容概述：‌</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highlight w:val="none"/>
          <w:lang w:val="en-US" w:eastAsia="zh-CN"/>
        </w:rPr>
        <w:t>项目投资阶段：</w:t>
      </w:r>
      <w:r>
        <w:rPr>
          <w:rFonts w:hint="eastAsia" w:ascii="仿宋_GB2312" w:eastAsia="仿宋_GB2312"/>
          <w:b w:val="0"/>
          <w:bCs w:val="0"/>
          <w:color w:val="auto"/>
          <w:sz w:val="32"/>
          <w:szCs w:val="32"/>
          <w:highlight w:val="none"/>
          <w:lang w:val="en-US" w:eastAsia="zh-CN"/>
        </w:rPr>
        <w:t>投资</w:t>
      </w:r>
      <w:r>
        <w:rPr>
          <w:rFonts w:hint="eastAsia" w:ascii="仿宋_GB2312" w:eastAsia="仿宋_GB2312"/>
          <w:color w:val="auto"/>
          <w:sz w:val="32"/>
          <w:szCs w:val="32"/>
          <w:highlight w:val="none"/>
          <w:lang w:val="en-US" w:eastAsia="zh-CN"/>
        </w:rPr>
        <w:t>阶段包括项目策划与概念引进，覆盖市场调研、‌可行性分析、‌资金筹措、项目谈判、协议签订、项目审批等环节。‌此阶段的时间周期取决于项目的复杂程度和规模大小，‌往往需要几个月到一年的时间。‌</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highlight w:val="none"/>
          <w:lang w:val="en-US" w:eastAsia="zh-CN"/>
        </w:rPr>
        <w:t>项目建设阶段：</w:t>
      </w:r>
      <w:r>
        <w:rPr>
          <w:rFonts w:hint="eastAsia" w:ascii="仿宋_GB2312" w:eastAsia="仿宋_GB2312"/>
          <w:color w:val="auto"/>
          <w:sz w:val="32"/>
          <w:szCs w:val="32"/>
          <w:highlight w:val="none"/>
          <w:lang w:val="en-US" w:eastAsia="zh-CN"/>
        </w:rPr>
        <w:t>在项目用地获批、环评通过后，‌项目正式进入建设阶段，涵盖项目施工、‌设备安装、监管验收等环节。此阶段的时间周期取决于项目施工进度和建设质量，时间跨度普遍较长。‌</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highlight w:val="none"/>
          <w:lang w:val="en-US" w:eastAsia="zh-CN"/>
        </w:rPr>
        <w:t>项目投产阶段：</w:t>
      </w:r>
      <w:r>
        <w:rPr>
          <w:rFonts w:hint="eastAsia" w:ascii="仿宋_GB2312" w:eastAsia="仿宋_GB2312"/>
          <w:color w:val="auto"/>
          <w:sz w:val="32"/>
          <w:szCs w:val="32"/>
          <w:highlight w:val="none"/>
          <w:lang w:val="en-US" w:eastAsia="zh-CN"/>
        </w:rPr>
        <w:t>‌项目完成建设后，正式‌进入投产运营阶段，也是项目成果验收阶段。此阶段项目的建筑物、设备仪器等‌需要定期的检查维护、更新改造，‌以确保项目的可持续运行和性能提升。此阶段的时间周期将持续较长时间。‌</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highlight w:val="none"/>
          <w:lang w:val="en-US" w:eastAsia="zh-CN"/>
        </w:rPr>
        <w:t>撤资清算阶段：</w:t>
      </w:r>
      <w:r>
        <w:rPr>
          <w:rFonts w:hint="eastAsia" w:ascii="仿宋_GB2312" w:eastAsia="仿宋_GB2312"/>
          <w:color w:val="auto"/>
          <w:sz w:val="32"/>
          <w:szCs w:val="32"/>
          <w:highlight w:val="none"/>
          <w:lang w:val="en-US" w:eastAsia="zh-CN"/>
        </w:rPr>
        <w:t>因市场环境变化、政策调整、经营不善等各种原因，境外投资者选择撤出项目，通常以撤资、股权转让和解散清算等方式实现。撤资是指境外投资者从已投资项目中撤出资金或股权；股权转让是指境外投资者将其持有的外商投资项目或企业的股权转让给第三方；清算是指外商投资项目先行出售房产、土地使用权、设备等资产后，再进行解散清算。</w:t>
      </w:r>
    </w:p>
    <w:p>
      <w:pPr>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br w:type="page"/>
      </w:r>
    </w:p>
    <w:p>
      <w:pPr>
        <w:outlineLvl w:val="0"/>
        <w:rPr>
          <w:rFonts w:hint="eastAsia" w:ascii="黑体" w:hAnsi="黑体" w:eastAsia="黑体" w:cs="黑体"/>
          <w:color w:val="auto"/>
          <w:sz w:val="32"/>
          <w:szCs w:val="32"/>
          <w:highlight w:val="none"/>
        </w:rPr>
      </w:pPr>
      <w:bookmarkStart w:id="18" w:name="_Toc17465"/>
      <w:bookmarkStart w:id="19" w:name="_Toc25955"/>
      <w:bookmarkStart w:id="20" w:name="_Toc32348"/>
      <w:bookmarkStart w:id="21" w:name="_Toc14457"/>
      <w:bookmarkStart w:id="22" w:name="_Toc12284"/>
      <w:bookmarkStart w:id="23" w:name="_Toc12679"/>
      <w:bookmarkStart w:id="24" w:name="_Toc225893141"/>
      <w:bookmarkStart w:id="25" w:name="_Toc5422"/>
      <w:bookmarkStart w:id="26" w:name="_Toc29143"/>
      <w:bookmarkStart w:id="27" w:name="_Toc3191"/>
      <w:bookmarkStart w:id="28" w:name="_Toc28553"/>
      <w:bookmarkStart w:id="29" w:name="_Toc9418"/>
      <w:r>
        <w:rPr>
          <w:rFonts w:hint="eastAsia" w:ascii="黑体" w:hAnsi="黑体" w:eastAsia="黑体" w:cs="黑体"/>
          <w:color w:val="auto"/>
          <w:sz w:val="32"/>
          <w:szCs w:val="32"/>
          <w:highlight w:val="none"/>
          <w:lang w:val="en-US" w:eastAsia="zh-CN"/>
        </w:rPr>
        <w:t>二、税收</w:t>
      </w:r>
      <w:r>
        <w:rPr>
          <w:rFonts w:hint="eastAsia" w:ascii="黑体" w:hAnsi="黑体" w:eastAsia="黑体" w:cs="黑体"/>
          <w:color w:val="auto"/>
          <w:sz w:val="32"/>
          <w:szCs w:val="32"/>
          <w:highlight w:val="none"/>
        </w:rPr>
        <w:t>政策</w:t>
      </w:r>
      <w:bookmarkEnd w:id="18"/>
      <w:bookmarkEnd w:id="19"/>
      <w:bookmarkEnd w:id="20"/>
      <w:bookmarkEnd w:id="21"/>
      <w:bookmarkEnd w:id="22"/>
      <w:bookmarkEnd w:id="23"/>
      <w:bookmarkEnd w:id="24"/>
      <w:bookmarkEnd w:id="25"/>
      <w:bookmarkEnd w:id="26"/>
      <w:bookmarkEnd w:id="27"/>
      <w:bookmarkEnd w:id="28"/>
      <w:bookmarkEnd w:id="29"/>
    </w:p>
    <w:p>
      <w:pPr>
        <w:outlineLvl w:val="1"/>
        <w:rPr>
          <w:rFonts w:hint="eastAsia" w:ascii="楷体_GB2312" w:eastAsia="楷体_GB2312" w:cs="Times New Roman"/>
          <w:color w:val="auto"/>
          <w:sz w:val="32"/>
          <w:szCs w:val="32"/>
          <w:highlight w:val="none"/>
          <w:lang w:val="en-US" w:eastAsia="zh-CN"/>
        </w:rPr>
      </w:pPr>
      <w:bookmarkStart w:id="30" w:name="_Toc26309"/>
      <w:bookmarkStart w:id="31" w:name="_Toc20826"/>
      <w:r>
        <w:rPr>
          <w:rFonts w:hint="eastAsia" w:ascii="楷体_GB2312" w:eastAsia="楷体_GB2312" w:cs="Times New Roman"/>
          <w:color w:val="auto"/>
          <w:sz w:val="32"/>
          <w:szCs w:val="32"/>
          <w:highlight w:val="none"/>
          <w:lang w:val="en-US" w:eastAsia="zh-CN"/>
        </w:rPr>
        <w:t>（一）项目投资阶段</w:t>
      </w:r>
      <w:bookmarkEnd w:id="30"/>
      <w:bookmarkEnd w:id="31"/>
    </w:p>
    <w:p>
      <w:pPr>
        <w:outlineLvl w:val="2"/>
        <w:rPr>
          <w:rFonts w:hint="eastAsia" w:ascii="仿宋_GB2312" w:hAnsi="Calibri" w:eastAsia="仿宋_GB2312" w:cs="Times New Roman"/>
          <w:b/>
          <w:bCs/>
          <w:color w:val="auto"/>
          <w:sz w:val="32"/>
          <w:szCs w:val="32"/>
          <w:highlight w:val="none"/>
        </w:rPr>
      </w:pPr>
      <w:bookmarkStart w:id="32" w:name="_Toc1074851557"/>
      <w:bookmarkStart w:id="33" w:name="_Toc14756"/>
      <w:bookmarkStart w:id="34" w:name="_Toc5937"/>
      <w:bookmarkStart w:id="35" w:name="_Toc32723"/>
      <w:bookmarkStart w:id="36" w:name="_Toc20391"/>
      <w:bookmarkStart w:id="37" w:name="_Toc27260"/>
      <w:bookmarkStart w:id="38" w:name="_Toc13217"/>
      <w:bookmarkStart w:id="39" w:name="_Toc4387"/>
      <w:bookmarkStart w:id="40" w:name="_Toc27809"/>
      <w:r>
        <w:rPr>
          <w:rFonts w:hint="eastAsia" w:ascii="仿宋_GB2312" w:hAnsi="Calibri" w:eastAsia="仿宋_GB2312" w:cs="Times New Roman"/>
          <w:b/>
          <w:bCs/>
          <w:color w:val="auto"/>
          <w:sz w:val="32"/>
          <w:szCs w:val="32"/>
          <w:highlight w:val="none"/>
          <w:lang w:val="en-US" w:eastAsia="zh-CN"/>
        </w:rPr>
        <w:t>1.鼓励境内外投资税收政策</w:t>
      </w:r>
      <w:bookmarkEnd w:id="32"/>
      <w:bookmarkEnd w:id="33"/>
      <w:bookmarkEnd w:id="34"/>
      <w:bookmarkEnd w:id="35"/>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textAlignment w:val="auto"/>
        <w:outlineLvl w:val="3"/>
        <w:rPr>
          <w:rFonts w:hint="eastAsia" w:ascii="仿宋_GB2312" w:hAnsi="Calibri" w:eastAsia="仿宋_GB2312" w:cs="Times New Roman"/>
          <w:b/>
          <w:bCs/>
          <w:color w:val="auto"/>
          <w:sz w:val="32"/>
          <w:szCs w:val="32"/>
          <w:highlight w:val="none"/>
        </w:rPr>
      </w:pPr>
      <w:bookmarkStart w:id="41" w:name="_Toc20353"/>
      <w:bookmarkStart w:id="42" w:name="_Toc4129"/>
      <w:bookmarkStart w:id="43" w:name="_Toc14477"/>
      <w:bookmarkStart w:id="44" w:name="_Toc15044"/>
      <w:bookmarkStart w:id="45" w:name="_Toc29795"/>
      <w:bookmarkStart w:id="46" w:name="_Toc444233663"/>
      <w:bookmarkStart w:id="47" w:name="_Toc18551"/>
      <w:bookmarkStart w:id="48" w:name="_Toc23592"/>
      <w:r>
        <w:rPr>
          <w:rFonts w:hint="eastAsia" w:ascii="仿宋_GB2312" w:hAnsi="Calibri" w:eastAsia="仿宋_GB2312" w:cs="Times New Roman"/>
          <w:b/>
          <w:bCs/>
          <w:color w:val="auto"/>
          <w:sz w:val="32"/>
          <w:szCs w:val="32"/>
          <w:highlight w:val="none"/>
          <w:lang w:eastAsia="zh-CN"/>
        </w:rPr>
        <w:t>（</w:t>
      </w:r>
      <w:r>
        <w:rPr>
          <w:rFonts w:hint="eastAsia" w:ascii="仿宋_GB2312" w:hAnsi="Calibri" w:eastAsia="仿宋_GB2312" w:cs="Times New Roman"/>
          <w:b/>
          <w:bCs/>
          <w:color w:val="auto"/>
          <w:sz w:val="32"/>
          <w:szCs w:val="32"/>
          <w:highlight w:val="none"/>
          <w:lang w:val="en-US" w:eastAsia="zh-CN"/>
        </w:rPr>
        <w:t>1</w:t>
      </w:r>
      <w:r>
        <w:rPr>
          <w:rFonts w:hint="eastAsia" w:ascii="仿宋_GB2312" w:hAnsi="Calibri" w:eastAsia="仿宋_GB2312" w:cs="Times New Roman"/>
          <w:b/>
          <w:bCs/>
          <w:color w:val="auto"/>
          <w:sz w:val="32"/>
          <w:szCs w:val="32"/>
          <w:highlight w:val="none"/>
          <w:lang w:eastAsia="zh-CN"/>
        </w:rPr>
        <w:t>）</w:t>
      </w:r>
      <w:r>
        <w:rPr>
          <w:rFonts w:hint="eastAsia" w:ascii="仿宋_GB2312" w:hAnsi="Calibri" w:eastAsia="仿宋_GB2312" w:cs="Times New Roman"/>
          <w:b/>
          <w:bCs/>
          <w:color w:val="auto"/>
          <w:sz w:val="32"/>
          <w:szCs w:val="32"/>
          <w:highlight w:val="none"/>
        </w:rPr>
        <w:t>境外投资者以分配利润直接投资暂不征收预提所得税政策</w:t>
      </w:r>
      <w:bookmarkEnd w:id="41"/>
      <w:bookmarkEnd w:id="42"/>
      <w:bookmarkEnd w:id="43"/>
      <w:bookmarkEnd w:id="44"/>
      <w:bookmarkEnd w:id="45"/>
      <w:bookmarkEnd w:id="46"/>
      <w:bookmarkEnd w:id="47"/>
      <w:bookmarkEnd w:id="4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境外投资者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自2018年1月1日起</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对境外投资者从中国境内居民企业分配的利润，直接投资于所有非禁止外商投资的项目和领域，凡符合规定条件的，实行递延纳税政策，暂不征收预提所得税。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1.《财政部 税务总局 国家发展改革委 商务部关于扩大境外投资者以分配利润直接投资暂不征收预提所得税政策适用范围的通知》（财税〔2018〕102号）</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2.《国家税务总局关于扩大境外投资者以分配利润直接投资暂不征收预提所得税政策适用范围有关问题的公告》（国家税务总局公告2018年第53号）</w:t>
      </w:r>
    </w:p>
    <w:p>
      <w:pPr>
        <w:keepNext w:val="0"/>
        <w:keepLines w:val="0"/>
        <w:pageBreakBefore w:val="0"/>
        <w:widowControl w:val="0"/>
        <w:kinsoku/>
        <w:wordWrap/>
        <w:overflowPunct/>
        <w:topLinePunct w:val="0"/>
        <w:autoSpaceDE/>
        <w:autoSpaceDN/>
        <w:bidi w:val="0"/>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3"/>
        <w:rPr>
          <w:rFonts w:hint="eastAsia" w:ascii="仿宋_GB2312" w:hAnsi="Calibri" w:eastAsia="仿宋_GB2312" w:cs="Times New Roman"/>
          <w:b/>
          <w:bCs/>
          <w:color w:val="auto"/>
          <w:sz w:val="32"/>
          <w:szCs w:val="32"/>
          <w:highlight w:val="none"/>
        </w:rPr>
      </w:pPr>
      <w:bookmarkStart w:id="49" w:name="_Toc6657"/>
      <w:r>
        <w:rPr>
          <w:rFonts w:hint="eastAsia" w:ascii="仿宋_GB2312" w:hAnsi="Calibri" w:eastAsia="仿宋_GB2312" w:cs="Times New Roman"/>
          <w:b/>
          <w:bCs/>
          <w:color w:val="auto"/>
          <w:sz w:val="32"/>
          <w:szCs w:val="32"/>
          <w:highlight w:val="none"/>
          <w:lang w:eastAsia="zh-CN"/>
        </w:rPr>
        <w:t>（</w:t>
      </w:r>
      <w:r>
        <w:rPr>
          <w:rFonts w:hint="eastAsia" w:ascii="仿宋_GB2312" w:eastAsia="仿宋_GB2312" w:cs="Times New Roman"/>
          <w:b/>
          <w:bCs/>
          <w:color w:val="auto"/>
          <w:sz w:val="32"/>
          <w:szCs w:val="32"/>
          <w:highlight w:val="none"/>
          <w:lang w:val="en-US" w:eastAsia="zh-CN"/>
        </w:rPr>
        <w:t>2</w:t>
      </w:r>
      <w:r>
        <w:rPr>
          <w:rFonts w:hint="eastAsia" w:ascii="仿宋_GB2312" w:hAnsi="Calibri" w:eastAsia="仿宋_GB2312" w:cs="Times New Roman"/>
          <w:b/>
          <w:bCs/>
          <w:color w:val="auto"/>
          <w:sz w:val="32"/>
          <w:szCs w:val="32"/>
          <w:highlight w:val="none"/>
          <w:lang w:eastAsia="zh-CN"/>
        </w:rPr>
        <w:t>）境外投资者以分配利润直接投资税收抵免</w:t>
      </w:r>
      <w:r>
        <w:rPr>
          <w:rFonts w:hint="eastAsia" w:ascii="仿宋_GB2312" w:hAnsi="Calibri" w:eastAsia="仿宋_GB2312" w:cs="Times New Roman"/>
          <w:b/>
          <w:bCs/>
          <w:color w:val="auto"/>
          <w:sz w:val="32"/>
          <w:szCs w:val="32"/>
          <w:highlight w:val="none"/>
        </w:rPr>
        <w:t>政策</w:t>
      </w:r>
      <w:bookmarkEnd w:id="4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境外投资者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境外投资者以中国境内居民企业分配的利润，在2025年1月1日至2028年12月31日期间用于境内直接投资符合条件的，可按照投资额的10%抵免境外投资者当年的应纳税额，当年不足抵免的准予向以后结转。中华人民共和国政府同外国政府订立的税收协定中关于股息、红利等权益性投资收益适用税率低于10%的，按照协定税率执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1.《财政部 税务总局 商务部关于境外投资者以分配利润直接投资税收抵免政策的公告》（财政部 税务总局 商务部公告2025年第2号）</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2.《国家税务总局关于境外投资者以分配利润直接投资税收抵免政策有关事项的公告》（国家税务总局公告2025年第18号）</w:t>
      </w:r>
    </w:p>
    <w:p>
      <w:pPr>
        <w:keepNext w:val="0"/>
        <w:keepLines w:val="0"/>
        <w:pageBreakBefore w:val="0"/>
        <w:widowControl w:val="0"/>
        <w:kinsoku/>
        <w:wordWrap/>
        <w:overflowPunct/>
        <w:topLinePunct w:val="0"/>
        <w:autoSpaceDE/>
        <w:autoSpaceDN/>
        <w:bidi w:val="0"/>
        <w:snapToGrid/>
        <w:spacing w:line="240" w:lineRule="auto"/>
        <w:jc w:val="left"/>
        <w:textAlignment w:val="auto"/>
        <w:outlineLvl w:val="9"/>
        <w:rPr>
          <w:rFonts w:hint="default" w:ascii="仿宋_GB2312" w:hAnsi="Calibri" w:eastAsia="仿宋_GB2312"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snapToGrid/>
        <w:spacing w:line="240" w:lineRule="auto"/>
        <w:jc w:val="left"/>
        <w:textAlignment w:val="auto"/>
        <w:outlineLvl w:val="3"/>
        <w:rPr>
          <w:rFonts w:hint="eastAsia" w:ascii="仿宋_GB2312" w:hAnsi="Calibri" w:eastAsia="仿宋_GB2312" w:cs="Times New Roman"/>
          <w:b/>
          <w:bCs/>
          <w:color w:val="auto"/>
          <w:sz w:val="32"/>
          <w:szCs w:val="32"/>
          <w:highlight w:val="none"/>
          <w:lang w:val="en-US" w:eastAsia="zh-CN"/>
        </w:rPr>
      </w:pPr>
      <w:bookmarkStart w:id="50" w:name="_Toc25128"/>
      <w:bookmarkStart w:id="51" w:name="_Toc18660"/>
      <w:r>
        <w:rPr>
          <w:rFonts w:hint="eastAsia" w:ascii="仿宋_GB2312" w:hAnsi="Calibri" w:eastAsia="仿宋_GB2312" w:cs="Times New Roman"/>
          <w:b/>
          <w:bCs/>
          <w:color w:val="auto"/>
          <w:sz w:val="32"/>
          <w:szCs w:val="32"/>
          <w:highlight w:val="none"/>
          <w:lang w:val="en-US" w:eastAsia="zh-CN"/>
        </w:rPr>
        <w:t>（</w:t>
      </w:r>
      <w:r>
        <w:rPr>
          <w:rFonts w:hint="eastAsia" w:ascii="仿宋_GB2312" w:eastAsia="仿宋_GB2312" w:cs="Times New Roman"/>
          <w:b/>
          <w:bCs/>
          <w:color w:val="auto"/>
          <w:sz w:val="32"/>
          <w:szCs w:val="32"/>
          <w:highlight w:val="none"/>
          <w:lang w:val="en-US" w:eastAsia="zh-CN"/>
        </w:rPr>
        <w:t>3</w:t>
      </w:r>
      <w:r>
        <w:rPr>
          <w:rFonts w:hint="eastAsia" w:ascii="仿宋_GB2312" w:hAnsi="Calibri" w:eastAsia="仿宋_GB2312" w:cs="Times New Roman"/>
          <w:b/>
          <w:bCs/>
          <w:color w:val="auto"/>
          <w:sz w:val="32"/>
          <w:szCs w:val="32"/>
          <w:highlight w:val="none"/>
          <w:lang w:val="en-US" w:eastAsia="zh-CN"/>
        </w:rPr>
        <w:t>）企业以技术成果投资入股递延纳税优惠政策</w:t>
      </w:r>
      <w:bookmarkEnd w:id="50"/>
      <w:bookmarkEnd w:id="5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hAnsi="仿宋_GB2312" w:eastAsia="仿宋_GB2312" w:cs="仿宋_GB2312"/>
          <w:b w:val="0"/>
          <w:bCs w:val="0"/>
          <w:color w:val="auto"/>
          <w:kern w:val="2"/>
          <w:sz w:val="32"/>
          <w:szCs w:val="32"/>
          <w:highlight w:val="none"/>
          <w:shd w:val="clear" w:color="auto" w:fill="auto"/>
          <w:lang w:val="en-US" w:eastAsia="zh-CN"/>
        </w:rPr>
      </w:pPr>
      <w:r>
        <w:rPr>
          <w:rFonts w:hint="eastAsia" w:ascii="仿宋_GB2312" w:hAnsi="仿宋_GB2312" w:eastAsia="仿宋_GB2312" w:cs="仿宋_GB2312"/>
          <w:b w:val="0"/>
          <w:bCs w:val="0"/>
          <w:color w:val="auto"/>
          <w:kern w:val="2"/>
          <w:sz w:val="32"/>
          <w:szCs w:val="32"/>
          <w:highlight w:val="none"/>
          <w:shd w:val="clear" w:color="auto" w:fill="auto"/>
          <w:lang w:val="en-US" w:eastAsia="zh-CN"/>
        </w:rPr>
        <w:t>以技术成果入股的企业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hAnsi="仿宋_GB2312" w:eastAsia="仿宋_GB2312" w:cs="仿宋_GB2312"/>
          <w:b w:val="0"/>
          <w:bCs w:val="0"/>
          <w:color w:val="auto"/>
          <w:kern w:val="2"/>
          <w:sz w:val="32"/>
          <w:szCs w:val="32"/>
          <w:highlight w:val="none"/>
          <w:shd w:val="clear" w:color="auto" w:fill="auto"/>
          <w:lang w:val="en-US" w:eastAsia="zh-CN"/>
        </w:rPr>
      </w:pPr>
      <w:r>
        <w:rPr>
          <w:rFonts w:hint="eastAsia" w:ascii="仿宋_GB2312" w:hAnsi="仿宋_GB2312" w:eastAsia="仿宋_GB2312" w:cs="仿宋_GB2312"/>
          <w:b w:val="0"/>
          <w:bCs w:val="0"/>
          <w:color w:val="auto"/>
          <w:kern w:val="2"/>
          <w:sz w:val="32"/>
          <w:szCs w:val="32"/>
          <w:highlight w:val="none"/>
          <w:shd w:val="clear" w:color="auto" w:fill="auto"/>
          <w:lang w:val="en-US" w:eastAsia="zh-CN"/>
        </w:rPr>
        <w:t>自2016年9月1日起，企业以技术成果投资入股到境内居民企业,被投资企业支付的对价全部为股票（权）的,企业可选择继续按现行有关税收政策执行,也可选择适用递延纳税优惠政策。</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hAnsi="仿宋_GB2312" w:eastAsia="仿宋_GB2312" w:cs="仿宋_GB2312"/>
          <w:b w:val="0"/>
          <w:bCs w:val="0"/>
          <w:color w:val="auto"/>
          <w:kern w:val="2"/>
          <w:sz w:val="32"/>
          <w:szCs w:val="32"/>
          <w:highlight w:val="none"/>
          <w:shd w:val="clear" w:color="auto" w:fill="auto"/>
          <w:lang w:val="en-US" w:eastAsia="zh-CN"/>
        </w:rPr>
      </w:pPr>
      <w:r>
        <w:rPr>
          <w:rFonts w:hint="eastAsia" w:ascii="仿宋_GB2312" w:hAnsi="仿宋_GB2312" w:eastAsia="仿宋_GB2312" w:cs="仿宋_GB2312"/>
          <w:b w:val="0"/>
          <w:bCs w:val="0"/>
          <w:color w:val="auto"/>
          <w:kern w:val="2"/>
          <w:sz w:val="32"/>
          <w:szCs w:val="32"/>
          <w:highlight w:val="none"/>
          <w:shd w:val="clear" w:color="auto" w:fill="auto"/>
          <w:lang w:val="en-US" w:eastAsia="zh-CN"/>
        </w:rPr>
        <w:t>选择技术成果投资入股递延纳税政策的,经向主管税务机关备案,投资入股当期可暂不纳税,允许递延至转让股权时,按股权转让收入减去技术成果原值和合理税费后的差额计算缴纳所得税。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1.财政部国家税务总局关于完善股权激励和技术入股有关所得税政策的通知（财税〔2016〕101号）</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val="en-US" w:eastAsia="zh-CN"/>
        </w:rPr>
        <w:t>2.国家税务总局关于股权激励和技术入股所得税征管问题的公告（国家税务总局公告2016年第62号）</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both"/>
        <w:textAlignment w:val="auto"/>
        <w:rPr>
          <w:rFonts w:hint="default" w:ascii="仿宋_GB2312" w:hAnsi="Calibri" w:eastAsia="仿宋_GB2312" w:cs="Times New Roman"/>
          <w:b/>
          <w:bCs/>
          <w:color w:val="auto"/>
          <w:kern w:val="2"/>
          <w:sz w:val="32"/>
          <w:szCs w:val="32"/>
          <w:highlight w:val="none"/>
          <w:lang w:val="en-US" w:eastAsia="zh-CN"/>
        </w:rPr>
      </w:pP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both"/>
        <w:textAlignment w:val="auto"/>
        <w:outlineLvl w:val="3"/>
        <w:rPr>
          <w:rFonts w:hint="default" w:ascii="仿宋_GB2312" w:hAnsi="Calibri" w:eastAsia="仿宋_GB2312" w:cs="Times New Roman"/>
          <w:b/>
          <w:bCs/>
          <w:i w:val="0"/>
          <w:iCs w:val="0"/>
          <w:caps w:val="0"/>
          <w:color w:val="auto"/>
          <w:spacing w:val="0"/>
          <w:kern w:val="2"/>
          <w:sz w:val="32"/>
          <w:szCs w:val="32"/>
          <w:highlight w:val="none"/>
          <w:shd w:val="clear" w:color="auto" w:fill="auto"/>
        </w:rPr>
      </w:pPr>
      <w:bookmarkStart w:id="52" w:name="_Toc14481"/>
      <w:bookmarkStart w:id="53" w:name="_Toc16721"/>
      <w:r>
        <w:rPr>
          <w:rFonts w:hint="default" w:ascii="仿宋_GB2312" w:hAnsi="Calibri" w:eastAsia="仿宋_GB2312" w:cs="Times New Roman"/>
          <w:b/>
          <w:bCs/>
          <w:color w:val="auto"/>
          <w:kern w:val="2"/>
          <w:sz w:val="32"/>
          <w:szCs w:val="32"/>
          <w:highlight w:val="none"/>
          <w:lang w:val="en-US" w:eastAsia="zh-CN"/>
        </w:rPr>
        <w:t>（</w:t>
      </w:r>
      <w:r>
        <w:rPr>
          <w:rFonts w:hint="eastAsia" w:ascii="仿宋_GB2312" w:hAnsi="Calibri" w:eastAsia="仿宋_GB2312" w:cs="Times New Roman"/>
          <w:b/>
          <w:bCs/>
          <w:color w:val="auto"/>
          <w:kern w:val="2"/>
          <w:sz w:val="32"/>
          <w:szCs w:val="32"/>
          <w:highlight w:val="none"/>
          <w:shd w:val="clear" w:color="auto" w:fill="auto"/>
          <w:lang w:val="en-US" w:eastAsia="zh-CN"/>
        </w:rPr>
        <w:t>4</w:t>
      </w:r>
      <w:r>
        <w:rPr>
          <w:rFonts w:hint="default" w:ascii="仿宋_GB2312" w:hAnsi="Calibri" w:eastAsia="仿宋_GB2312" w:cs="Times New Roman"/>
          <w:b/>
          <w:bCs/>
          <w:color w:val="auto"/>
          <w:kern w:val="2"/>
          <w:sz w:val="32"/>
          <w:szCs w:val="32"/>
          <w:highlight w:val="none"/>
          <w:lang w:val="en-US" w:eastAsia="zh-CN"/>
        </w:rPr>
        <w:t>）</w:t>
      </w:r>
      <w:r>
        <w:rPr>
          <w:rFonts w:hint="default" w:ascii="仿宋_GB2312" w:hAnsi="Calibri" w:eastAsia="仿宋_GB2312" w:cs="Times New Roman"/>
          <w:b/>
          <w:bCs/>
          <w:i w:val="0"/>
          <w:iCs w:val="0"/>
          <w:caps w:val="0"/>
          <w:color w:val="auto"/>
          <w:spacing w:val="0"/>
          <w:kern w:val="2"/>
          <w:sz w:val="32"/>
          <w:szCs w:val="32"/>
          <w:highlight w:val="none"/>
          <w:shd w:val="clear" w:color="auto" w:fill="auto"/>
        </w:rPr>
        <w:t>关于外国投资者从外商投资企业取得利润的优惠政策</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default"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i w:val="0"/>
          <w:iCs w:val="0"/>
          <w:caps w:val="0"/>
          <w:color w:val="auto"/>
          <w:spacing w:val="0"/>
          <w:kern w:val="2"/>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外国投资者（企业）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default"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i w:val="0"/>
          <w:iCs w:val="0"/>
          <w:caps w:val="0"/>
          <w:color w:val="auto"/>
          <w:spacing w:val="0"/>
          <w:kern w:val="2"/>
          <w:sz w:val="32"/>
          <w:szCs w:val="32"/>
          <w:highlight w:val="none"/>
          <w:shd w:val="clear" w:color="auto" w:fill="auto"/>
        </w:rPr>
      </w:pPr>
      <w:r>
        <w:rPr>
          <w:rFonts w:hint="default" w:ascii="仿宋_GB2312" w:hAnsi="仿宋_GB2312" w:eastAsia="仿宋_GB2312" w:cs="仿宋_GB2312"/>
          <w:i w:val="0"/>
          <w:iCs w:val="0"/>
          <w:caps w:val="0"/>
          <w:color w:val="auto"/>
          <w:spacing w:val="0"/>
          <w:kern w:val="2"/>
          <w:sz w:val="32"/>
          <w:szCs w:val="32"/>
          <w:highlight w:val="none"/>
          <w:shd w:val="clear" w:color="auto" w:fill="auto"/>
        </w:rPr>
        <w:t>2008年1月1日之前外商投资企业形成的累积未分配利润，在2008年以后分配给外国投资者的，免征企业所得税；2008年及以后年度外商投资企业新增利润分配给外国投资者的，依法缴纳企业所得税。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【政策依据】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i w:val="0"/>
          <w:iCs w:val="0"/>
          <w:caps w:val="0"/>
          <w:color w:val="auto"/>
          <w:spacing w:val="0"/>
          <w:kern w:val="2"/>
          <w:sz w:val="32"/>
          <w:szCs w:val="32"/>
          <w:highlight w:val="none"/>
          <w:shd w:val="clear" w:color="auto" w:fill="auto"/>
          <w:lang w:eastAsia="zh-CN"/>
        </w:rPr>
      </w:pPr>
      <w:r>
        <w:rPr>
          <w:rFonts w:hint="eastAsia" w:ascii="黑体" w:hAnsi="黑体" w:eastAsia="黑体" w:cs="黑体"/>
          <w:b w:val="0"/>
          <w:bCs w:val="0"/>
          <w:i w:val="0"/>
          <w:iCs w:val="0"/>
          <w:caps w:val="0"/>
          <w:color w:val="auto"/>
          <w:spacing w:val="0"/>
          <w:kern w:val="2"/>
          <w:sz w:val="32"/>
          <w:szCs w:val="32"/>
          <w:highlight w:val="none"/>
          <w:shd w:val="clear" w:color="auto" w:fill="auto"/>
          <w:lang w:eastAsia="zh-CN"/>
        </w:rPr>
        <w:tab/>
      </w:r>
      <w:r>
        <w:rPr>
          <w:rFonts w:hint="eastAsia" w:ascii="黑体" w:hAnsi="黑体" w:eastAsia="黑体" w:cs="黑体"/>
          <w:i w:val="0"/>
          <w:iCs w:val="0"/>
          <w:caps w:val="0"/>
          <w:color w:val="auto"/>
          <w:spacing w:val="0"/>
          <w:kern w:val="2"/>
          <w:sz w:val="32"/>
          <w:szCs w:val="32"/>
          <w:highlight w:val="none"/>
          <w:shd w:val="clear" w:color="auto" w:fill="auto"/>
          <w:lang w:val="en-US" w:eastAsia="zh-CN"/>
        </w:rPr>
        <w:t>1.</w:t>
      </w:r>
      <w:r>
        <w:rPr>
          <w:rFonts w:hint="eastAsia" w:ascii="黑体" w:hAnsi="黑体" w:eastAsia="黑体" w:cs="黑体"/>
          <w:i w:val="0"/>
          <w:iCs w:val="0"/>
          <w:caps w:val="0"/>
          <w:color w:val="auto"/>
          <w:spacing w:val="0"/>
          <w:kern w:val="2"/>
          <w:sz w:val="32"/>
          <w:szCs w:val="32"/>
          <w:highlight w:val="none"/>
          <w:shd w:val="clear" w:color="auto" w:fill="auto"/>
          <w:lang w:eastAsia="zh-CN"/>
        </w:rPr>
        <w:t>《</w:t>
      </w:r>
      <w:r>
        <w:rPr>
          <w:rFonts w:hint="eastAsia" w:ascii="黑体" w:hAnsi="黑体" w:eastAsia="黑体" w:cs="黑体"/>
          <w:b w:val="0"/>
          <w:bCs w:val="0"/>
          <w:i w:val="0"/>
          <w:iCs w:val="0"/>
          <w:caps w:val="0"/>
          <w:color w:val="auto"/>
          <w:spacing w:val="0"/>
          <w:kern w:val="2"/>
          <w:sz w:val="32"/>
          <w:szCs w:val="32"/>
          <w:highlight w:val="none"/>
          <w:shd w:val="clear" w:color="auto" w:fill="auto"/>
        </w:rPr>
        <w:t>财政部 国家税务总局关于企业所得税若干优惠政策的通知</w:t>
      </w:r>
      <w:r>
        <w:rPr>
          <w:rFonts w:hint="eastAsia" w:ascii="黑体" w:hAnsi="黑体" w:eastAsia="黑体" w:cs="黑体"/>
          <w:i w:val="0"/>
          <w:iCs w:val="0"/>
          <w:caps w:val="0"/>
          <w:color w:val="auto"/>
          <w:spacing w:val="0"/>
          <w:kern w:val="2"/>
          <w:sz w:val="32"/>
          <w:szCs w:val="32"/>
          <w:highlight w:val="none"/>
          <w:shd w:val="clear" w:color="auto" w:fill="auto"/>
          <w:lang w:eastAsia="zh-CN"/>
        </w:rPr>
        <w:t>》（财税〔2008〕1号）</w:t>
      </w: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rPr>
          <w:rFonts w:hint="eastAsia" w:ascii="仿宋_GB2312" w:hAnsi="Calibri" w:eastAsia="仿宋_GB2312" w:cs="Times New Roman"/>
          <w:b/>
          <w:bCs/>
          <w:color w:val="auto"/>
          <w:kern w:val="2"/>
          <w:sz w:val="32"/>
          <w:szCs w:val="32"/>
          <w:highlight w:val="none"/>
          <w:lang w:eastAsia="zh-CN"/>
        </w:rPr>
      </w:pP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outlineLvl w:val="3"/>
        <w:rPr>
          <w:rFonts w:hint="default" w:ascii="仿宋_GB2312" w:hAnsi="Calibri" w:eastAsia="仿宋_GB2312" w:cs="Times New Roman"/>
          <w:b/>
          <w:bCs/>
          <w:color w:val="auto"/>
          <w:kern w:val="2"/>
          <w:sz w:val="32"/>
          <w:szCs w:val="32"/>
          <w:highlight w:val="none"/>
          <w:lang w:val="en-US" w:eastAsia="zh-CN"/>
        </w:rPr>
      </w:pPr>
      <w:bookmarkStart w:id="54" w:name="_Toc551"/>
      <w:bookmarkStart w:id="55" w:name="_Toc29854"/>
      <w:r>
        <w:rPr>
          <w:rFonts w:hint="eastAsia" w:ascii="仿宋_GB2312" w:hAnsi="Calibri" w:eastAsia="仿宋_GB2312" w:cs="Times New Roman"/>
          <w:b/>
          <w:bCs/>
          <w:color w:val="auto"/>
          <w:kern w:val="2"/>
          <w:sz w:val="32"/>
          <w:szCs w:val="32"/>
          <w:highlight w:val="none"/>
          <w:lang w:eastAsia="zh-CN"/>
        </w:rPr>
        <w:t>（</w:t>
      </w:r>
      <w:r>
        <w:rPr>
          <w:rFonts w:hint="eastAsia" w:ascii="仿宋_GB2312" w:hAnsi="Calibri" w:eastAsia="仿宋_GB2312" w:cs="Times New Roman"/>
          <w:b/>
          <w:bCs/>
          <w:color w:val="auto"/>
          <w:kern w:val="2"/>
          <w:sz w:val="32"/>
          <w:szCs w:val="32"/>
          <w:highlight w:val="none"/>
          <w:lang w:val="en-US" w:eastAsia="zh-CN"/>
        </w:rPr>
        <w:t>5</w:t>
      </w:r>
      <w:r>
        <w:rPr>
          <w:rFonts w:hint="eastAsia" w:ascii="仿宋_GB2312" w:hAnsi="Calibri" w:eastAsia="仿宋_GB2312" w:cs="Times New Roman"/>
          <w:b/>
          <w:bCs/>
          <w:color w:val="auto"/>
          <w:kern w:val="2"/>
          <w:sz w:val="32"/>
          <w:szCs w:val="32"/>
          <w:highlight w:val="none"/>
          <w:lang w:eastAsia="zh-CN"/>
        </w:rPr>
        <w:t>）</w:t>
      </w:r>
      <w:r>
        <w:rPr>
          <w:rFonts w:hint="eastAsia" w:ascii="仿宋_GB2312" w:hAnsi="Calibri" w:eastAsia="仿宋_GB2312" w:cs="Times New Roman"/>
          <w:b/>
          <w:bCs/>
          <w:color w:val="auto"/>
          <w:kern w:val="2"/>
          <w:sz w:val="32"/>
          <w:szCs w:val="32"/>
          <w:highlight w:val="none"/>
          <w:lang w:val="en-US" w:eastAsia="zh-CN"/>
        </w:rPr>
        <w:t>外籍个人从外商投资企业取得的股息、红利所得暂免征收个人所得税</w:t>
      </w:r>
      <w:bookmarkEnd w:id="54"/>
      <w:bookmarkEnd w:id="5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【适用主体】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外籍个人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【政策内容】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下列所得，暂免征收个人所得税：</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(八)外籍个人从外商投资企业取得的股息、红利所得。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【政策依据】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黑体" w:hAnsi="黑体" w:eastAsia="黑体" w:cs="黑体"/>
          <w:b w:val="0"/>
          <w:bCs w:val="0"/>
          <w:color w:val="auto"/>
          <w:kern w:val="2"/>
          <w:sz w:val="32"/>
          <w:szCs w:val="32"/>
          <w:highlight w:val="none"/>
          <w:lang w:val="en-US" w:eastAsia="zh-CN"/>
        </w:rPr>
      </w:pPr>
      <w:r>
        <w:rPr>
          <w:rFonts w:hint="eastAsia" w:ascii="黑体" w:hAnsi="黑体" w:eastAsia="黑体" w:cs="黑体"/>
          <w:b w:val="0"/>
          <w:bCs w:val="0"/>
          <w:color w:val="auto"/>
          <w:kern w:val="2"/>
          <w:sz w:val="32"/>
          <w:szCs w:val="32"/>
          <w:highlight w:val="none"/>
          <w:lang w:val="en-US" w:eastAsia="zh-CN"/>
        </w:rPr>
        <w:t>1.《财政部 国家税务总局关于个人所得税若干政策问题的通知》（（1994）财税字第20号）</w:t>
      </w: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rPr>
          <w:rFonts w:hint="eastAsia" w:ascii="仿宋_GB2312" w:hAnsi="Calibri" w:eastAsia="仿宋_GB2312" w:cs="Times New Roman"/>
          <w:b/>
          <w:bCs/>
          <w:color w:val="auto"/>
          <w:kern w:val="2"/>
          <w:sz w:val="32"/>
          <w:szCs w:val="32"/>
          <w:highlight w:val="none"/>
          <w:lang w:eastAsia="zh-CN"/>
        </w:rPr>
      </w:pP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outlineLvl w:val="3"/>
        <w:rPr>
          <w:rFonts w:ascii="仿宋_GB2312" w:hAnsi="Calibri" w:eastAsia="仿宋_GB2312" w:cs="Times New Roman"/>
          <w:b/>
          <w:bCs/>
          <w:color w:val="auto"/>
          <w:kern w:val="2"/>
          <w:sz w:val="32"/>
          <w:szCs w:val="32"/>
          <w:highlight w:val="none"/>
        </w:rPr>
      </w:pPr>
      <w:bookmarkStart w:id="56" w:name="_Toc13955"/>
      <w:bookmarkStart w:id="57" w:name="_Toc21794"/>
      <w:r>
        <w:rPr>
          <w:rFonts w:hint="eastAsia" w:ascii="仿宋_GB2312" w:hAnsi="Calibri" w:eastAsia="仿宋_GB2312" w:cs="Times New Roman"/>
          <w:b/>
          <w:bCs/>
          <w:color w:val="auto"/>
          <w:kern w:val="2"/>
          <w:sz w:val="32"/>
          <w:szCs w:val="32"/>
          <w:highlight w:val="none"/>
          <w:lang w:eastAsia="zh-CN"/>
        </w:rPr>
        <w:t>（</w:t>
      </w:r>
      <w:r>
        <w:rPr>
          <w:rFonts w:hint="eastAsia" w:ascii="仿宋_GB2312" w:hAnsi="Calibri" w:eastAsia="仿宋_GB2312" w:cs="Times New Roman"/>
          <w:b/>
          <w:bCs/>
          <w:color w:val="auto"/>
          <w:kern w:val="2"/>
          <w:sz w:val="32"/>
          <w:szCs w:val="32"/>
          <w:highlight w:val="none"/>
          <w:lang w:val="en-US" w:eastAsia="zh-CN"/>
        </w:rPr>
        <w:t>6</w:t>
      </w:r>
      <w:r>
        <w:rPr>
          <w:rFonts w:hint="eastAsia" w:ascii="仿宋_GB2312" w:hAnsi="Calibri" w:eastAsia="仿宋_GB2312" w:cs="Times New Roman"/>
          <w:b/>
          <w:bCs/>
          <w:color w:val="auto"/>
          <w:kern w:val="2"/>
          <w:sz w:val="32"/>
          <w:szCs w:val="32"/>
          <w:highlight w:val="none"/>
          <w:lang w:eastAsia="zh-CN"/>
        </w:rPr>
        <w:t>）</w:t>
      </w:r>
      <w:r>
        <w:rPr>
          <w:rFonts w:ascii="仿宋_GB2312" w:hAnsi="Calibri" w:eastAsia="仿宋_GB2312" w:cs="Times New Roman"/>
          <w:b/>
          <w:bCs/>
          <w:color w:val="auto"/>
          <w:kern w:val="2"/>
          <w:sz w:val="32"/>
          <w:szCs w:val="32"/>
          <w:highlight w:val="none"/>
        </w:rPr>
        <w:t>境外机构投资者从事中国境内原油期货交易暂不征收企业所得税</w:t>
      </w:r>
      <w:bookmarkEnd w:id="56"/>
      <w:bookmarkEnd w:id="57"/>
      <w:r>
        <w:rPr>
          <w:rFonts w:ascii="仿宋_GB2312" w:hAnsi="Calibri" w:eastAsia="仿宋_GB2312" w:cs="Times New Roman"/>
          <w:b/>
          <w:bCs/>
          <w:color w:val="auto"/>
          <w:kern w:val="2"/>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【适用主体】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 w:val="0"/>
          <w:bCs w:val="0"/>
          <w:color w:val="auto"/>
          <w:kern w:val="2"/>
          <w:sz w:val="32"/>
          <w:szCs w:val="32"/>
          <w:highlight w:val="none"/>
        </w:rPr>
      </w:pPr>
      <w:r>
        <w:rPr>
          <w:rFonts w:ascii="仿宋_GB2312" w:hAnsi="仿宋_GB2312" w:eastAsia="仿宋_GB2312" w:cs="仿宋_GB2312"/>
          <w:b w:val="0"/>
          <w:bCs w:val="0"/>
          <w:color w:val="auto"/>
          <w:kern w:val="2"/>
          <w:sz w:val="32"/>
          <w:szCs w:val="32"/>
          <w:highlight w:val="none"/>
        </w:rPr>
        <w:t xml:space="preserve">符合条件的境外机构投资者（包括境外经纪机构）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【政策内容】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 w:val="0"/>
          <w:bCs w:val="0"/>
          <w:color w:val="auto"/>
          <w:kern w:val="2"/>
          <w:sz w:val="32"/>
          <w:szCs w:val="32"/>
          <w:highlight w:val="none"/>
        </w:rPr>
      </w:pPr>
      <w:r>
        <w:rPr>
          <w:rFonts w:ascii="仿宋_GB2312" w:hAnsi="仿宋_GB2312" w:eastAsia="仿宋_GB2312" w:cs="仿宋_GB2312"/>
          <w:b w:val="0"/>
          <w:bCs w:val="0"/>
          <w:color w:val="auto"/>
          <w:kern w:val="2"/>
          <w:sz w:val="32"/>
          <w:szCs w:val="32"/>
          <w:highlight w:val="none"/>
        </w:rPr>
        <w:t>对在中国境内未设立机构、场所的，或者虽设立机构、 场所但取得的所得与其所设机构、场所没有实际联系的境外 机构投资者（包括境外经纪机构），从事中国境内原油期货 交易取得的所得（不含实物交割所得），暂不征收企业所得 税。对境外经纪机构在境外为境外投资者提供中国境内原油 期货经纪业务取得的佣金所得，不属于来源于中国境内的劳 务所得，不征收企业所得税。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【政策依据】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1.</w:t>
      </w:r>
      <w:r>
        <w:rPr>
          <w:rFonts w:hint="eastAsia" w:ascii="黑体" w:hAnsi="黑体" w:eastAsia="黑体" w:cs="黑体"/>
          <w:b w:val="0"/>
          <w:bCs w:val="0"/>
          <w:color w:val="auto"/>
          <w:kern w:val="2"/>
          <w:sz w:val="32"/>
          <w:szCs w:val="32"/>
          <w:highlight w:val="none"/>
        </w:rPr>
        <w:t>《财政部 税务总局 证监会关于支持原油等货物期货82 市场对外开放税收政策的通知》（财税〔2018〕21号）</w:t>
      </w: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rPr>
          <w:rFonts w:hint="eastAsia" w:ascii="仿宋_GB2312" w:hAnsi="Calibri" w:eastAsia="仿宋_GB2312" w:cs="Times New Roman"/>
          <w:b/>
          <w:bCs/>
          <w:color w:val="auto"/>
          <w:kern w:val="2"/>
          <w:sz w:val="32"/>
          <w:szCs w:val="32"/>
          <w:highlight w:val="none"/>
          <w:lang w:eastAsia="zh-CN"/>
        </w:rPr>
      </w:pPr>
    </w:p>
    <w:p>
      <w:pPr>
        <w:pStyle w:val="16"/>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0" w:firstLineChars="0"/>
        <w:jc w:val="both"/>
        <w:textAlignment w:val="auto"/>
        <w:outlineLvl w:val="3"/>
        <w:rPr>
          <w:rFonts w:ascii="仿宋_GB2312" w:hAnsi="Calibri" w:eastAsia="仿宋_GB2312" w:cs="Times New Roman"/>
          <w:b/>
          <w:bCs/>
          <w:color w:val="auto"/>
          <w:kern w:val="2"/>
          <w:sz w:val="32"/>
          <w:szCs w:val="32"/>
          <w:highlight w:val="none"/>
        </w:rPr>
      </w:pPr>
      <w:bookmarkStart w:id="58" w:name="_Toc21450"/>
      <w:bookmarkStart w:id="59" w:name="_Toc20501"/>
      <w:r>
        <w:rPr>
          <w:rFonts w:hint="eastAsia" w:ascii="仿宋_GB2312" w:hAnsi="Calibri" w:eastAsia="仿宋_GB2312" w:cs="Times New Roman"/>
          <w:b/>
          <w:bCs/>
          <w:color w:val="auto"/>
          <w:kern w:val="2"/>
          <w:sz w:val="32"/>
          <w:szCs w:val="32"/>
          <w:highlight w:val="none"/>
          <w:lang w:eastAsia="zh-CN"/>
        </w:rPr>
        <w:t>（</w:t>
      </w:r>
      <w:r>
        <w:rPr>
          <w:rFonts w:hint="eastAsia" w:ascii="仿宋_GB2312" w:hAnsi="Calibri" w:eastAsia="仿宋_GB2312" w:cs="Times New Roman"/>
          <w:b/>
          <w:bCs/>
          <w:color w:val="auto"/>
          <w:kern w:val="2"/>
          <w:sz w:val="32"/>
          <w:szCs w:val="32"/>
          <w:highlight w:val="none"/>
          <w:lang w:val="en-US" w:eastAsia="zh-CN"/>
        </w:rPr>
        <w:t>7</w:t>
      </w:r>
      <w:r>
        <w:rPr>
          <w:rFonts w:hint="eastAsia" w:ascii="仿宋_GB2312" w:hAnsi="Calibri" w:eastAsia="仿宋_GB2312" w:cs="Times New Roman"/>
          <w:b/>
          <w:bCs/>
          <w:color w:val="auto"/>
          <w:kern w:val="2"/>
          <w:sz w:val="32"/>
          <w:szCs w:val="32"/>
          <w:highlight w:val="none"/>
          <w:lang w:eastAsia="zh-CN"/>
        </w:rPr>
        <w:t>）</w:t>
      </w:r>
      <w:r>
        <w:rPr>
          <w:rFonts w:ascii="仿宋_GB2312" w:hAnsi="Calibri" w:eastAsia="仿宋_GB2312" w:cs="Times New Roman"/>
          <w:b/>
          <w:bCs/>
          <w:color w:val="auto"/>
          <w:kern w:val="2"/>
          <w:sz w:val="32"/>
          <w:szCs w:val="32"/>
          <w:highlight w:val="none"/>
        </w:rPr>
        <w:t>境外个人投资者投资中国境内原油等货物期货品种取 得的所得暂免征收个人所得税</w:t>
      </w:r>
      <w:bookmarkEnd w:id="58"/>
      <w:bookmarkEnd w:id="59"/>
      <w:r>
        <w:rPr>
          <w:rFonts w:ascii="仿宋_GB2312" w:hAnsi="Calibri" w:eastAsia="仿宋_GB2312" w:cs="Times New Roman"/>
          <w:b/>
          <w:bCs/>
          <w:color w:val="auto"/>
          <w:kern w:val="2"/>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【适用主体】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 w:val="0"/>
          <w:bCs w:val="0"/>
          <w:color w:val="auto"/>
          <w:kern w:val="2"/>
          <w:sz w:val="32"/>
          <w:szCs w:val="32"/>
          <w:highlight w:val="none"/>
        </w:rPr>
      </w:pPr>
      <w:r>
        <w:rPr>
          <w:rFonts w:ascii="仿宋_GB2312" w:hAnsi="仿宋_GB2312" w:eastAsia="仿宋_GB2312" w:cs="仿宋_GB2312"/>
          <w:b w:val="0"/>
          <w:bCs w:val="0"/>
          <w:color w:val="auto"/>
          <w:kern w:val="2"/>
          <w:sz w:val="32"/>
          <w:szCs w:val="32"/>
          <w:highlight w:val="none"/>
        </w:rPr>
        <w:t>境外个人投资者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【政策内容】 </w:t>
      </w:r>
    </w:p>
    <w:p>
      <w:pPr>
        <w:pStyle w:val="16"/>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 w:val="0"/>
          <w:bCs w:val="0"/>
          <w:color w:val="auto"/>
          <w:kern w:val="2"/>
          <w:sz w:val="32"/>
          <w:szCs w:val="32"/>
          <w:highlight w:val="none"/>
        </w:rPr>
      </w:pPr>
      <w:r>
        <w:rPr>
          <w:rFonts w:ascii="仿宋_GB2312" w:hAnsi="仿宋_GB2312" w:eastAsia="仿宋_GB2312" w:cs="仿宋_GB2312"/>
          <w:b w:val="0"/>
          <w:bCs w:val="0"/>
          <w:color w:val="auto"/>
          <w:kern w:val="2"/>
          <w:sz w:val="32"/>
          <w:szCs w:val="32"/>
          <w:highlight w:val="none"/>
        </w:rPr>
        <w:t>2027年12月31日前，对境外个人投资者投资经国务院 批准对外开放的中国境内原油等货物期货品种取得的所得， 暂免征收个人所得税。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税务总局 中国证监会关于延续实施支持原 油等货物期货市场对外开放个人所得税政策的公告》（财政部 税务总局 中国证监会公告2023年第26号）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bookmarkStart w:id="60" w:name="_Toc1513083531"/>
      <w:bookmarkStart w:id="61" w:name="_Toc21461"/>
      <w:bookmarkStart w:id="62" w:name="_Toc1563"/>
      <w:bookmarkStart w:id="63" w:name="_Toc26728"/>
      <w:bookmarkStart w:id="64" w:name="_Toc31072"/>
      <w:bookmarkStart w:id="65" w:name="_Toc20608"/>
      <w:bookmarkStart w:id="66" w:name="_Toc27200"/>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lang w:val="en-US" w:eastAsia="zh-CN"/>
        </w:rPr>
      </w:pPr>
      <w:bookmarkStart w:id="67" w:name="_Toc8237"/>
      <w:bookmarkStart w:id="68" w:name="_Toc18697"/>
      <w:r>
        <w:rPr>
          <w:rFonts w:hint="eastAsia" w:ascii="仿宋_GB2312" w:hAnsi="Calibri" w:eastAsia="仿宋_GB2312" w:cs="Times New Roman"/>
          <w:b/>
          <w:bCs/>
          <w:color w:val="auto"/>
          <w:sz w:val="32"/>
          <w:szCs w:val="32"/>
          <w:highlight w:val="none"/>
          <w:lang w:val="en-US" w:eastAsia="zh-CN"/>
        </w:rPr>
        <w:t>（</w:t>
      </w:r>
      <w:r>
        <w:rPr>
          <w:rFonts w:hint="eastAsia" w:ascii="仿宋_GB2312" w:eastAsia="仿宋_GB2312" w:cs="Times New Roman"/>
          <w:b/>
          <w:bCs/>
          <w:color w:val="auto"/>
          <w:sz w:val="32"/>
          <w:szCs w:val="32"/>
          <w:highlight w:val="none"/>
          <w:lang w:val="en-US" w:eastAsia="zh-CN"/>
        </w:rPr>
        <w:t>8</w:t>
      </w:r>
      <w:r>
        <w:rPr>
          <w:rFonts w:hint="eastAsia" w:ascii="仿宋_GB2312" w:hAnsi="Calibri" w:eastAsia="仿宋_GB2312" w:cs="Times New Roman"/>
          <w:b/>
          <w:bCs/>
          <w:color w:val="auto"/>
          <w:sz w:val="32"/>
          <w:szCs w:val="32"/>
          <w:highlight w:val="none"/>
          <w:lang w:val="en-US" w:eastAsia="zh-CN"/>
        </w:rPr>
        <w:t>）非货币性资产对外投资分期缴纳企业所得税政策</w:t>
      </w:r>
      <w:bookmarkEnd w:id="60"/>
      <w:bookmarkEnd w:id="61"/>
      <w:bookmarkEnd w:id="62"/>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bookmarkStart w:id="69" w:name="_Toc5410"/>
      <w:r>
        <w:rPr>
          <w:rFonts w:hint="eastAsia" w:asciiTheme="minorEastAsia" w:hAnsiTheme="minorEastAsia" w:eastAsiaTheme="minorEastAsia" w:cstheme="minorEastAsia"/>
          <w:color w:val="auto"/>
          <w:sz w:val="32"/>
          <w:szCs w:val="32"/>
          <w:highlight w:val="none"/>
          <w:lang w:val="en-US" w:eastAsia="zh-CN"/>
        </w:rPr>
        <w:t>【适用主体】</w:t>
      </w:r>
    </w:p>
    <w:bookmarkEnd w:id="69"/>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宋体" w:eastAsia="仿宋_GB2312" w:cs="Times New Roman"/>
          <w:bCs w:val="0"/>
          <w:color w:val="auto"/>
          <w:sz w:val="32"/>
          <w:szCs w:val="32"/>
          <w:highlight w:val="none"/>
          <w:shd w:val="clear" w:color="auto" w:fill="FFFFFF"/>
          <w:lang w:eastAsia="zh-CN"/>
        </w:rPr>
      </w:pPr>
      <w:r>
        <w:rPr>
          <w:rFonts w:hint="default" w:ascii="仿宋_GB2312" w:hAnsi="宋体" w:eastAsia="仿宋_GB2312" w:cs="Times New Roman"/>
          <w:bCs w:val="0"/>
          <w:color w:val="auto"/>
          <w:sz w:val="32"/>
          <w:szCs w:val="32"/>
          <w:highlight w:val="none"/>
          <w:shd w:val="clear" w:color="auto" w:fill="FFFFFF"/>
          <w:lang w:eastAsia="zh-CN"/>
        </w:rPr>
        <w:t>以非货币性资产对外投资的居民企业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b w:val="0"/>
          <w:bCs w:val="0"/>
          <w:color w:val="auto"/>
          <w:sz w:val="32"/>
          <w:szCs w:val="32"/>
          <w:highlight w:val="none"/>
          <w:shd w:val="clear" w:color="auto" w:fill="FFFFFF"/>
        </w:rPr>
      </w:pPr>
      <w:r>
        <w:rPr>
          <w:rFonts w:hint="default" w:ascii="仿宋_GB2312" w:eastAsia="仿宋_GB2312"/>
          <w:b w:val="0"/>
          <w:bCs w:val="0"/>
          <w:color w:val="auto"/>
          <w:sz w:val="32"/>
          <w:szCs w:val="32"/>
          <w:highlight w:val="none"/>
          <w:shd w:val="clear" w:color="auto" w:fill="FFFFFF"/>
        </w:rPr>
        <w:t>自2014年1月1日起</w:t>
      </w:r>
      <w:r>
        <w:rPr>
          <w:rFonts w:hint="eastAsia" w:ascii="仿宋_GB2312" w:eastAsia="仿宋_GB2312"/>
          <w:b w:val="0"/>
          <w:bCs w:val="0"/>
          <w:color w:val="auto"/>
          <w:sz w:val="32"/>
          <w:szCs w:val="32"/>
          <w:highlight w:val="none"/>
          <w:shd w:val="clear" w:color="auto" w:fill="FFFFFF"/>
          <w:lang w:eastAsia="zh-CN"/>
        </w:rPr>
        <w:t>，</w:t>
      </w:r>
      <w:r>
        <w:rPr>
          <w:rFonts w:hint="default" w:ascii="仿宋_GB2312" w:eastAsia="仿宋_GB2312"/>
          <w:b w:val="0"/>
          <w:bCs w:val="0"/>
          <w:color w:val="auto"/>
          <w:sz w:val="32"/>
          <w:szCs w:val="32"/>
          <w:highlight w:val="none"/>
          <w:shd w:val="clear" w:color="auto" w:fill="FFFFFF"/>
        </w:rPr>
        <w:t>居民企业以非货币性资产对外投资确认的非货币性资产转让所得，可在不超过5年期限内，分期均匀计入相应年度的应纳税所得额，按规定计算缴纳企业所得税。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国家税务总局关于非货币性资产投资企业所得税政策问题的通知》（财税〔2014〕116号）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2.《国家税务总局关于非货币性资产投资企业所得税有关征管问题的公告》（国家税务总局公告2015年第33号）</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仿宋_GB2312" w:hAnsi="Calibri" w:eastAsia="仿宋_GB2312" w:cs="Times New Roman"/>
          <w:b/>
          <w:bCs/>
          <w:color w:val="auto"/>
          <w:sz w:val="32"/>
          <w:szCs w:val="32"/>
          <w:highlight w:val="none"/>
          <w:lang w:eastAsia="zh-CN"/>
        </w:rPr>
      </w:pPr>
      <w:bookmarkStart w:id="70" w:name="_Toc2043595829"/>
      <w:bookmarkStart w:id="71" w:name="_Toc13288"/>
      <w:bookmarkStart w:id="72" w:name="_Toc13986"/>
      <w:bookmarkStart w:id="73" w:name="_Toc3871"/>
      <w:bookmarkStart w:id="74" w:name="_Toc23648"/>
      <w:bookmarkStart w:id="75" w:name="_Toc11999"/>
      <w:bookmarkStart w:id="76" w:name="_Toc5575"/>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Calibri" w:eastAsia="仿宋_GB2312" w:cs="Times New Roman"/>
          <w:b/>
          <w:bCs/>
          <w:color w:val="auto"/>
          <w:sz w:val="32"/>
          <w:szCs w:val="32"/>
          <w:highlight w:val="none"/>
        </w:rPr>
      </w:pPr>
      <w:bookmarkStart w:id="77" w:name="_Toc21755"/>
      <w:bookmarkStart w:id="78" w:name="_Toc8930"/>
      <w:r>
        <w:rPr>
          <w:rFonts w:hint="eastAsia" w:ascii="仿宋_GB2312" w:hAnsi="Calibri" w:eastAsia="仿宋_GB2312" w:cs="Times New Roman"/>
          <w:b/>
          <w:bCs/>
          <w:color w:val="auto"/>
          <w:sz w:val="32"/>
          <w:szCs w:val="32"/>
          <w:highlight w:val="none"/>
          <w:lang w:eastAsia="zh-CN"/>
        </w:rPr>
        <w:t>（</w:t>
      </w:r>
      <w:r>
        <w:rPr>
          <w:rFonts w:hint="eastAsia" w:ascii="仿宋_GB2312" w:eastAsia="仿宋_GB2312" w:cs="Times New Roman"/>
          <w:b/>
          <w:bCs/>
          <w:color w:val="auto"/>
          <w:sz w:val="32"/>
          <w:szCs w:val="32"/>
          <w:highlight w:val="none"/>
          <w:lang w:val="en-US" w:eastAsia="zh-CN"/>
        </w:rPr>
        <w:t>9</w:t>
      </w:r>
      <w:r>
        <w:rPr>
          <w:rFonts w:hint="eastAsia" w:ascii="仿宋_GB2312" w:hAnsi="Calibri" w:eastAsia="仿宋_GB2312" w:cs="Times New Roman"/>
          <w:b/>
          <w:bCs/>
          <w:color w:val="auto"/>
          <w:sz w:val="32"/>
          <w:szCs w:val="32"/>
          <w:highlight w:val="none"/>
          <w:lang w:eastAsia="zh-CN"/>
        </w:rPr>
        <w:t>）</w:t>
      </w:r>
      <w:r>
        <w:rPr>
          <w:rFonts w:hint="eastAsia" w:ascii="仿宋_GB2312" w:hAnsi="Calibri" w:eastAsia="仿宋_GB2312" w:cs="Times New Roman"/>
          <w:b/>
          <w:bCs/>
          <w:color w:val="auto"/>
          <w:sz w:val="32"/>
          <w:szCs w:val="32"/>
          <w:highlight w:val="none"/>
        </w:rPr>
        <w:t>非货币性资产对外投资分期缴纳个人所得税政策</w:t>
      </w:r>
      <w:bookmarkEnd w:id="70"/>
      <w:bookmarkEnd w:id="71"/>
      <w:bookmarkEnd w:id="72"/>
      <w:bookmarkEnd w:id="73"/>
      <w:bookmarkEnd w:id="74"/>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bookmarkStart w:id="79" w:name="_Toc1586"/>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楷体_GB2312" w:cs="楷体_GB2312"/>
          <w:bCs/>
          <w:color w:val="auto"/>
          <w:sz w:val="32"/>
          <w:szCs w:val="32"/>
          <w:highlight w:val="none"/>
          <w:shd w:val="clear" w:color="auto" w:fill="FFFFFF"/>
          <w:lang w:eastAsia="zh-CN"/>
        </w:rPr>
      </w:pPr>
      <w:r>
        <w:rPr>
          <w:rFonts w:hint="default" w:ascii="仿宋_GB2312" w:hAnsi="宋体" w:eastAsia="仿宋_GB2312" w:cs="Times New Roman"/>
          <w:bCs w:val="0"/>
          <w:color w:val="auto"/>
          <w:sz w:val="32"/>
          <w:szCs w:val="32"/>
          <w:highlight w:val="none"/>
          <w:shd w:val="clear" w:color="auto" w:fill="FFFFFF"/>
          <w:lang w:eastAsia="zh-CN"/>
        </w:rPr>
        <w:t>以非货币性资产对外投资的</w:t>
      </w:r>
      <w:r>
        <w:rPr>
          <w:rFonts w:hint="eastAsia" w:ascii="仿宋_GB2312" w:eastAsia="仿宋_GB2312" w:cs="Times New Roman"/>
          <w:bCs w:val="0"/>
          <w:color w:val="auto"/>
          <w:sz w:val="32"/>
          <w:szCs w:val="32"/>
          <w:highlight w:val="none"/>
          <w:shd w:val="clear" w:color="auto" w:fill="FFFFFF"/>
          <w:lang w:eastAsia="zh-CN"/>
        </w:rPr>
        <w:t>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bookmarkEnd w:id="79"/>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val="en-US" w:eastAsia="zh-CN"/>
        </w:rPr>
        <w:t>个人以非货币性资产投资，属于个人转让非货币性资产和投资同时发生。对个人转让非货币性资产的所得，应按照“财产转让所得”项目，依法计算缴纳个人所得税。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val="en-US" w:eastAsia="zh-CN"/>
        </w:rPr>
        <w:t>个人以非货币性资产投资，应按评估后的公允价值确认非货币性资产转让收入。非货币性资产转让收入减除该资产原值及合理税费后的余额为应纳税所得额。</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val="en-US" w:eastAsia="zh-CN"/>
        </w:rPr>
        <w:t>自2015年4月1日起，纳税人一次性缴税有困难的，可合理确定分期缴纳计划并报主管税务机关备案后，自发生上述应税行为之日起不超过5个公历年度内(含)分期缴纳个人所得税。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i w:val="0"/>
          <w:iCs w:val="0"/>
          <w:color w:val="auto"/>
          <w:sz w:val="32"/>
          <w:szCs w:val="32"/>
          <w:highlight w:val="none"/>
          <w:shd w:val="clear" w:color="auto" w:fill="FFFFFF"/>
        </w:rPr>
        <w:t>个人以非货币性资产投资交易过程中取得现金补价的，现金部分应优先用于缴税</w:t>
      </w:r>
      <w:r>
        <w:rPr>
          <w:rFonts w:hint="eastAsia" w:ascii="仿宋_GB2312" w:hAnsi="仿宋_GB2312" w:eastAsia="仿宋_GB2312" w:cs="仿宋_GB2312"/>
          <w:i w:val="0"/>
          <w:iCs w:val="0"/>
          <w:color w:val="auto"/>
          <w:sz w:val="32"/>
          <w:szCs w:val="32"/>
          <w:highlight w:val="none"/>
          <w:shd w:val="clear" w:color="auto" w:fill="FFFFFF"/>
          <w:lang w:eastAsia="zh-CN"/>
        </w:rPr>
        <w:t>；</w:t>
      </w:r>
      <w:r>
        <w:rPr>
          <w:rFonts w:hint="eastAsia" w:ascii="仿宋_GB2312" w:hAnsi="仿宋_GB2312" w:eastAsia="仿宋_GB2312" w:cs="仿宋_GB2312"/>
          <w:i w:val="0"/>
          <w:iCs w:val="0"/>
          <w:color w:val="auto"/>
          <w:sz w:val="32"/>
          <w:szCs w:val="32"/>
          <w:highlight w:val="none"/>
          <w:shd w:val="clear" w:color="auto" w:fill="FFFFFF"/>
        </w:rPr>
        <w:t>现金不足以缴纳的部分，可分期缴纳。个人在分期缴税期间转让其持有的上述全部或部分股权，并取得现金收入的，该现金收入应优先用于缴纳尚未缴清的税款。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国家税务总局关于个人非货币性资产投资有关个人所得税政策的通知》（财税〔2015〕41号）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2.《国家税务总局关于个人非货币性资产投资有关个人所得税征管问题的公告》（国家税务总局公告2015年第20号）</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bookmarkStart w:id="80" w:name="_Toc10198"/>
      <w:bookmarkStart w:id="81" w:name="_Toc2129018534"/>
      <w:bookmarkStart w:id="82" w:name="_Toc8936"/>
      <w:bookmarkStart w:id="83" w:name="_Toc21499"/>
      <w:bookmarkStart w:id="84" w:name="_Toc16444"/>
      <w:bookmarkStart w:id="85" w:name="_Toc26640"/>
      <w:bookmarkStart w:id="86" w:name="_Toc3502"/>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eastAsia" w:ascii="仿宋_GB2312" w:hAnsi="Calibri" w:eastAsia="仿宋_GB2312" w:cs="Times New Roman"/>
          <w:b/>
          <w:bCs/>
          <w:color w:val="auto"/>
          <w:sz w:val="32"/>
          <w:szCs w:val="32"/>
          <w:highlight w:val="none"/>
        </w:rPr>
      </w:pPr>
      <w:bookmarkStart w:id="87" w:name="_Toc11874"/>
      <w:bookmarkStart w:id="88" w:name="_Toc3319"/>
      <w:r>
        <w:rPr>
          <w:rFonts w:hint="eastAsia" w:ascii="仿宋_GB2312" w:hAnsi="Calibri" w:eastAsia="仿宋_GB2312" w:cs="Times New Roman"/>
          <w:b/>
          <w:bCs/>
          <w:color w:val="auto"/>
          <w:sz w:val="32"/>
          <w:szCs w:val="32"/>
          <w:highlight w:val="none"/>
          <w:lang w:val="en-US" w:eastAsia="zh-CN"/>
        </w:rPr>
        <w:t>2.</w:t>
      </w:r>
      <w:r>
        <w:rPr>
          <w:rFonts w:hint="eastAsia" w:ascii="仿宋_GB2312" w:hAnsi="Calibri" w:eastAsia="仿宋_GB2312" w:cs="Times New Roman"/>
          <w:b/>
          <w:bCs/>
          <w:color w:val="auto"/>
          <w:sz w:val="32"/>
          <w:szCs w:val="32"/>
          <w:highlight w:val="none"/>
        </w:rPr>
        <w:t>项目用地</w:t>
      </w:r>
      <w:r>
        <w:rPr>
          <w:rFonts w:hint="eastAsia" w:ascii="仿宋_GB2312" w:hAnsi="Calibri" w:eastAsia="仿宋_GB2312" w:cs="Times New Roman"/>
          <w:b/>
          <w:bCs/>
          <w:color w:val="auto"/>
          <w:sz w:val="32"/>
          <w:szCs w:val="32"/>
          <w:highlight w:val="none"/>
          <w:lang w:eastAsia="zh-CN"/>
        </w:rPr>
        <w:t>税收政策</w:t>
      </w:r>
      <w:bookmarkEnd w:id="80"/>
      <w:bookmarkEnd w:id="81"/>
      <w:bookmarkEnd w:id="82"/>
      <w:bookmarkEnd w:id="83"/>
      <w:bookmarkEnd w:id="84"/>
      <w:bookmarkEnd w:id="85"/>
      <w:bookmarkEnd w:id="86"/>
      <w:bookmarkEnd w:id="87"/>
      <w:bookmarkEnd w:id="88"/>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89" w:name="_Toc10671"/>
      <w:bookmarkStart w:id="90" w:name="_Toc8418"/>
      <w:bookmarkStart w:id="91" w:name="_Toc7433"/>
      <w:bookmarkStart w:id="92" w:name="_Toc12745"/>
      <w:bookmarkStart w:id="93" w:name="_Toc6789"/>
      <w:bookmarkStart w:id="94" w:name="_Toc1538736680"/>
      <w:bookmarkStart w:id="95" w:name="_Toc23215"/>
      <w:bookmarkStart w:id="96" w:name="_Toc13159"/>
      <w:bookmarkStart w:id="97" w:name="_Toc8573"/>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土地使用权受让方所涉契税政策</w:t>
      </w:r>
      <w:bookmarkEnd w:id="89"/>
      <w:bookmarkEnd w:id="90"/>
      <w:bookmarkEnd w:id="91"/>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bookmarkStart w:id="98" w:name="_Toc2960"/>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仿宋_GB2312" w:cs="楷体_GB2312"/>
          <w:bCs/>
          <w:color w:val="auto"/>
          <w:sz w:val="32"/>
          <w:szCs w:val="32"/>
          <w:highlight w:val="none"/>
          <w:shd w:val="clear" w:color="auto" w:fill="FFFFFF"/>
          <w:lang w:eastAsia="zh-CN"/>
        </w:rPr>
      </w:pPr>
      <w:r>
        <w:rPr>
          <w:rFonts w:hint="eastAsia" w:ascii="仿宋_GB2312" w:eastAsia="仿宋_GB2312"/>
          <w:color w:val="auto"/>
          <w:sz w:val="32"/>
          <w:szCs w:val="32"/>
          <w:highlight w:val="none"/>
          <w:shd w:val="clear" w:color="auto" w:fill="FFFFFF"/>
          <w:lang w:eastAsia="zh-CN"/>
        </w:rPr>
        <w:t>在</w:t>
      </w:r>
      <w:r>
        <w:rPr>
          <w:rFonts w:hint="default" w:ascii="仿宋_GB2312" w:eastAsia="仿宋_GB2312"/>
          <w:color w:val="auto"/>
          <w:sz w:val="32"/>
          <w:szCs w:val="32"/>
          <w:highlight w:val="none"/>
          <w:shd w:val="clear" w:color="auto" w:fill="FFFFFF"/>
        </w:rPr>
        <w:t>中华人民共和国境内转移土地、房屋权属，承受的单位和个人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bookmarkEnd w:id="98"/>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color w:val="auto"/>
          <w:sz w:val="32"/>
          <w:szCs w:val="32"/>
          <w:highlight w:val="none"/>
          <w:shd w:val="clear" w:color="auto" w:fill="FFFFFF"/>
        </w:rPr>
      </w:pPr>
      <w:r>
        <w:rPr>
          <w:rFonts w:hint="default" w:ascii="仿宋_GB2312" w:eastAsia="仿宋_GB2312"/>
          <w:color w:val="auto"/>
          <w:sz w:val="32"/>
          <w:szCs w:val="32"/>
          <w:highlight w:val="none"/>
          <w:shd w:val="clear" w:color="auto" w:fill="FFFFFF"/>
        </w:rPr>
        <w:t>在中华人民共和国境内转移土地、房屋权属，承受的单位和个人为契税的纳税人，应当依照规定缴纳契税。</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color w:val="auto"/>
          <w:sz w:val="32"/>
          <w:szCs w:val="32"/>
          <w:highlight w:val="none"/>
          <w:shd w:val="clear" w:color="auto" w:fill="FFFFFF"/>
        </w:rPr>
      </w:pPr>
      <w:r>
        <w:rPr>
          <w:rFonts w:ascii="仿宋_GB2312" w:eastAsia="仿宋_GB2312"/>
          <w:color w:val="auto"/>
          <w:sz w:val="32"/>
          <w:szCs w:val="32"/>
          <w:highlight w:val="none"/>
          <w:shd w:val="clear" w:color="auto" w:fill="FFFFFF"/>
        </w:rPr>
        <w:t>契税税率为百分之三至百分之五。</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1.《中华人民共和国契税法》（中华人民共和国主席令第五十二号）</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4"/>
        <w:rPr>
          <w:rFonts w:hint="eastAsia" w:ascii="仿宋_GB2312" w:hAnsi="仿宋_GB2312" w:eastAsia="仿宋_GB2312" w:cs="仿宋_GB2312"/>
          <w:b/>
          <w:bCs/>
          <w:color w:val="auto"/>
          <w:sz w:val="32"/>
          <w:szCs w:val="32"/>
          <w:highlight w:val="none"/>
          <w:lang w:eastAsia="zh-CN"/>
        </w:rPr>
      </w:pPr>
      <w:bookmarkStart w:id="99" w:name="_Toc25554"/>
      <w:bookmarkStart w:id="100" w:name="_Toc4528"/>
      <w:bookmarkStart w:id="101" w:name="_Toc21552"/>
      <w:bookmarkStart w:id="102" w:name="_Toc1634521485"/>
      <w:bookmarkStart w:id="103" w:name="_Toc13416"/>
      <w:bookmarkStart w:id="104" w:name="_Toc3042"/>
      <w:bookmarkStart w:id="105" w:name="_Toc25429"/>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06" w:name="_Toc5229"/>
      <w:bookmarkStart w:id="107" w:name="_Toc7219"/>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土地使用权受让方所涉印花税政策</w:t>
      </w:r>
      <w:bookmarkEnd w:id="99"/>
      <w:bookmarkEnd w:id="100"/>
      <w:bookmarkEnd w:id="101"/>
      <w:bookmarkEnd w:id="102"/>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bookmarkStart w:id="108" w:name="_Toc31438"/>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仿宋_GB2312" w:cs="楷体_GB2312"/>
          <w:bCs/>
          <w:color w:val="auto"/>
          <w:sz w:val="32"/>
          <w:szCs w:val="32"/>
          <w:highlight w:val="none"/>
          <w:shd w:val="clear" w:color="auto" w:fill="FFFFFF"/>
          <w:lang w:eastAsia="zh-CN"/>
        </w:rPr>
      </w:pPr>
      <w:r>
        <w:rPr>
          <w:rFonts w:hint="default" w:ascii="仿宋_GB2312" w:eastAsia="仿宋_GB2312"/>
          <w:color w:val="auto"/>
          <w:sz w:val="32"/>
          <w:szCs w:val="32"/>
          <w:highlight w:val="none"/>
          <w:shd w:val="clear" w:color="auto" w:fill="FFFFFF"/>
        </w:rPr>
        <w:t>在中华人民共和国境内书立应税凭证、进行证券交易的单位和个人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bookmarkEnd w:id="108"/>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color w:val="auto"/>
          <w:sz w:val="32"/>
          <w:szCs w:val="32"/>
          <w:highlight w:val="none"/>
          <w:shd w:val="clear" w:color="auto" w:fill="FFFFFF"/>
        </w:rPr>
      </w:pPr>
      <w:r>
        <w:rPr>
          <w:rFonts w:hint="default" w:ascii="仿宋_GB2312" w:eastAsia="仿宋_GB2312"/>
          <w:color w:val="auto"/>
          <w:sz w:val="32"/>
          <w:szCs w:val="32"/>
          <w:highlight w:val="none"/>
          <w:shd w:val="clear" w:color="auto" w:fill="FFFFFF"/>
        </w:rPr>
        <w:t>在中华人民共和国境内书立应税凭证、进行证券交易的单位和个人，为印花税的纳税人，应当依法缴纳印花税。应税凭证，是指《中华人民共和国印花税法》所附《印花税税目税率表》列明的合同、产权转移书据和营业账簿。其中，属于土地使用权出让书据，税率为价款的万分之五；土地使用权转让书据（不包括土地承包经营权和土地经营权转移），税率为价款的万分之五，转让包括买卖（出售）、继承、赠与、互换、分割。</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1.《中华人民共和国印花税法》（中华人民共和国主席令第八十九号）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eastAsia="仿宋_GB2312"/>
          <w:color w:val="auto"/>
          <w:sz w:val="32"/>
          <w:szCs w:val="32"/>
          <w:highlight w:val="none"/>
          <w:shd w:val="clear" w:color="auto" w:fill="FFFFFF"/>
        </w:rPr>
      </w:pPr>
    </w:p>
    <w:p>
      <w:pPr>
        <w:outlineLvl w:val="1"/>
        <w:rPr>
          <w:rFonts w:hint="eastAsia" w:ascii="楷体_GB2312" w:eastAsia="楷体_GB2312" w:cs="Times New Roman"/>
          <w:color w:val="auto"/>
          <w:sz w:val="32"/>
          <w:szCs w:val="32"/>
          <w:highlight w:val="none"/>
          <w:lang w:val="en-US" w:eastAsia="zh-CN"/>
        </w:rPr>
      </w:pPr>
      <w:bookmarkStart w:id="109" w:name="_Toc9392"/>
      <w:bookmarkStart w:id="110" w:name="_Toc14976"/>
      <w:r>
        <w:rPr>
          <w:rFonts w:hint="eastAsia" w:ascii="楷体_GB2312" w:eastAsia="楷体_GB2312" w:cs="Times New Roman"/>
          <w:color w:val="auto"/>
          <w:sz w:val="32"/>
          <w:szCs w:val="32"/>
          <w:highlight w:val="none"/>
          <w:lang w:val="en-US" w:eastAsia="zh-CN"/>
        </w:rPr>
        <w:t>（二）项目建设阶段</w:t>
      </w:r>
      <w:bookmarkEnd w:id="109"/>
      <w:bookmarkEnd w:id="110"/>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rPr>
      </w:pPr>
      <w:bookmarkStart w:id="111" w:name="_Toc3875"/>
      <w:bookmarkStart w:id="112" w:name="_Toc20073"/>
      <w:bookmarkStart w:id="113" w:name="_Toc26495"/>
      <w:bookmarkStart w:id="114" w:name="_Toc1143007539"/>
      <w:bookmarkStart w:id="115" w:name="_Toc9439"/>
      <w:bookmarkStart w:id="116" w:name="_Toc30371"/>
      <w:bookmarkStart w:id="117" w:name="_Toc15828"/>
      <w:bookmarkStart w:id="118" w:name="_Toc25193"/>
      <w:bookmarkStart w:id="119" w:name="_Toc17130"/>
      <w:bookmarkStart w:id="120" w:name="_Toc12336"/>
      <w:r>
        <w:rPr>
          <w:rFonts w:hint="eastAsia" w:ascii="仿宋_GB2312" w:hAnsi="仿宋_GB2312" w:eastAsia="仿宋_GB2312" w:cs="仿宋_GB2312"/>
          <w:b/>
          <w:bCs/>
          <w:color w:val="auto"/>
          <w:sz w:val="32"/>
          <w:szCs w:val="32"/>
          <w:highlight w:val="none"/>
          <w:lang w:val="en-US" w:eastAsia="zh-CN"/>
        </w:rPr>
        <w:t>1.项目采购设备税收政策</w:t>
      </w:r>
      <w:bookmarkEnd w:id="111"/>
      <w:bookmarkEnd w:id="112"/>
      <w:bookmarkEnd w:id="113"/>
      <w:bookmarkEnd w:id="114"/>
      <w:bookmarkEnd w:id="115"/>
      <w:bookmarkEnd w:id="116"/>
      <w:bookmarkEnd w:id="117"/>
      <w:bookmarkEnd w:id="118"/>
      <w:bookmarkEnd w:id="119"/>
      <w:bookmarkEnd w:id="120"/>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21" w:name="_Toc10417"/>
      <w:bookmarkStart w:id="122" w:name="_Toc29007"/>
      <w:bookmarkStart w:id="123" w:name="_Toc16303"/>
      <w:bookmarkStart w:id="124" w:name="_Toc29922"/>
      <w:bookmarkStart w:id="125" w:name="_Toc6147"/>
      <w:bookmarkStart w:id="126" w:name="_Toc8570"/>
      <w:bookmarkStart w:id="127" w:name="_Toc13799"/>
      <w:bookmarkStart w:id="128" w:name="_Toc1714539062"/>
      <w:bookmarkStart w:id="129" w:name="_Toc30242"/>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设备、器具一次性税前扣除政策</w:t>
      </w:r>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宋体" w:eastAsia="仿宋_GB2312" w:cs="Times New Roman"/>
          <w:bCs w:val="0"/>
          <w:color w:val="auto"/>
          <w:sz w:val="32"/>
          <w:szCs w:val="32"/>
          <w:highlight w:val="none"/>
          <w:shd w:val="clear" w:color="auto" w:fill="FFFFFF"/>
          <w:lang w:eastAsia="zh-CN"/>
        </w:rPr>
      </w:pPr>
      <w:r>
        <w:rPr>
          <w:rFonts w:hint="default" w:ascii="仿宋_GB2312" w:hAnsi="宋体" w:eastAsia="仿宋_GB2312" w:cs="Times New Roman"/>
          <w:bCs w:val="0"/>
          <w:color w:val="auto"/>
          <w:sz w:val="32"/>
          <w:szCs w:val="32"/>
          <w:highlight w:val="none"/>
          <w:shd w:val="clear" w:color="auto" w:fill="FFFFFF"/>
          <w:lang w:eastAsia="zh-CN"/>
        </w:rPr>
        <w:t>新购</w:t>
      </w:r>
      <w:r>
        <w:rPr>
          <w:rFonts w:hint="eastAsia" w:ascii="仿宋_GB2312" w:eastAsia="仿宋_GB2312" w:cs="Times New Roman"/>
          <w:bCs w:val="0"/>
          <w:color w:val="auto"/>
          <w:sz w:val="32"/>
          <w:szCs w:val="32"/>
          <w:highlight w:val="none"/>
          <w:shd w:val="clear" w:color="auto" w:fill="FFFFFF"/>
          <w:lang w:eastAsia="zh-CN"/>
        </w:rPr>
        <w:t>进</w:t>
      </w:r>
      <w:r>
        <w:rPr>
          <w:rFonts w:hint="default" w:ascii="仿宋_GB2312" w:hAnsi="宋体" w:eastAsia="仿宋_GB2312" w:cs="Times New Roman"/>
          <w:bCs w:val="0"/>
          <w:color w:val="auto"/>
          <w:sz w:val="32"/>
          <w:szCs w:val="32"/>
          <w:highlight w:val="none"/>
          <w:shd w:val="clear" w:color="auto" w:fill="FFFFFF"/>
          <w:lang w:eastAsia="zh-CN"/>
        </w:rPr>
        <w:t>设备、器具的企业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b w:val="0"/>
          <w:bCs w:val="0"/>
          <w:color w:val="auto"/>
          <w:sz w:val="32"/>
          <w:szCs w:val="32"/>
          <w:highlight w:val="none"/>
          <w:shd w:val="clear" w:color="auto" w:fill="FFFFFF"/>
        </w:rPr>
      </w:pPr>
      <w:r>
        <w:rPr>
          <w:rFonts w:hint="default" w:ascii="仿宋_GB2312" w:eastAsia="仿宋_GB2312"/>
          <w:b w:val="0"/>
          <w:bCs w:val="0"/>
          <w:color w:val="auto"/>
          <w:sz w:val="32"/>
          <w:szCs w:val="32"/>
          <w:highlight w:val="none"/>
          <w:shd w:val="clear" w:color="auto" w:fill="FFFFFF"/>
        </w:rPr>
        <w:t>企业在2024年1月1日至2027年12月31日期间新购进的设备、器具，单位价值不超过500万元的，允许一次性计入当期成本费用在计算应纳税所得额时扣除，不再分年度计算折旧</w:t>
      </w:r>
      <w:r>
        <w:rPr>
          <w:rFonts w:ascii="仿宋_GB2312" w:eastAsia="仿宋_GB2312"/>
          <w:b w:val="0"/>
          <w:bCs w:val="0"/>
          <w:color w:val="auto"/>
          <w:sz w:val="32"/>
          <w:szCs w:val="32"/>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w:t>
      </w:r>
      <w:r>
        <w:rPr>
          <w:rFonts w:hint="default" w:ascii="黑体" w:hAnsi="黑体" w:eastAsia="黑体" w:cs="黑体"/>
          <w:b w:val="0"/>
          <w:bCs w:val="0"/>
          <w:color w:val="auto"/>
          <w:sz w:val="32"/>
          <w:szCs w:val="32"/>
          <w:highlight w:val="none"/>
          <w:shd w:val="clear" w:color="auto" w:fill="FFFFFF"/>
          <w:lang w:val="en-US" w:eastAsia="zh-CN"/>
        </w:rPr>
        <w:t>《财政部 税务总局关于设备、器具扣除有关企业所得税政策的公告》（财政部 税务总局公告2023年第37号）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w:t>
      </w:r>
      <w:r>
        <w:rPr>
          <w:rFonts w:hint="default" w:ascii="黑体" w:hAnsi="黑体" w:eastAsia="黑体" w:cs="黑体"/>
          <w:b w:val="0"/>
          <w:bCs w:val="0"/>
          <w:color w:val="auto"/>
          <w:sz w:val="32"/>
          <w:szCs w:val="32"/>
          <w:highlight w:val="none"/>
          <w:shd w:val="clear" w:color="auto" w:fill="FFFFFF"/>
          <w:lang w:val="en-US" w:eastAsia="zh-CN"/>
        </w:rPr>
        <w:t>《国家税务总局关于设备 器具扣除有关企业所得税政策执行问题的公告》（国家税务总局公告2018年第46号）</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eastAsia="zh-CN"/>
        </w:rPr>
      </w:pPr>
      <w:bookmarkStart w:id="130" w:name="_Toc8461"/>
      <w:bookmarkStart w:id="131" w:name="_Toc24125"/>
      <w:bookmarkStart w:id="132" w:name="_Toc13451"/>
      <w:bookmarkStart w:id="133" w:name="_Toc20963"/>
      <w:bookmarkStart w:id="134" w:name="_Toc24378"/>
      <w:bookmarkStart w:id="135" w:name="_Toc3580"/>
      <w:bookmarkStart w:id="136" w:name="_Toc517652765"/>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37" w:name="_Toc5870"/>
      <w:bookmarkStart w:id="138" w:name="_Toc14474"/>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增值税留抵退税政策</w:t>
      </w:r>
      <w:bookmarkEnd w:id="130"/>
      <w:bookmarkEnd w:id="131"/>
      <w:bookmarkEnd w:id="132"/>
      <w:bookmarkEnd w:id="133"/>
      <w:bookmarkEnd w:id="134"/>
      <w:bookmarkEnd w:id="135"/>
      <w:bookmarkEnd w:id="136"/>
      <w:bookmarkEnd w:id="137"/>
      <w:bookmarkEnd w:id="13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仿宋_GB2312" w:cs="楷体_GB2312"/>
          <w:bCs/>
          <w:color w:val="auto"/>
          <w:sz w:val="32"/>
          <w:szCs w:val="32"/>
          <w:highlight w:val="none"/>
          <w:shd w:val="clear" w:color="auto" w:fill="FFFFFF"/>
          <w:lang w:eastAsia="zh-CN"/>
        </w:rPr>
      </w:pPr>
      <w:r>
        <w:rPr>
          <w:rFonts w:hint="eastAsia" w:ascii="仿宋_GB2312" w:eastAsia="仿宋_GB2312"/>
          <w:color w:val="auto"/>
          <w:sz w:val="32"/>
          <w:szCs w:val="32"/>
          <w:highlight w:val="none"/>
          <w:shd w:val="clear" w:color="auto" w:fill="FFFFFF"/>
        </w:rPr>
        <w:t>符合条件的增值税一般纳税人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自2025年9月增值税纳税申报期起，符合条件的增值税一般纳税人可以根据规定向主管税务机关申请退还期末留抵税额。</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default" w:ascii="黑体" w:hAnsi="黑体" w:eastAsia="黑体" w:cs="黑体"/>
          <w:b w:val="0"/>
          <w:bCs w:val="0"/>
          <w:color w:val="auto"/>
          <w:sz w:val="32"/>
          <w:szCs w:val="32"/>
          <w:highlight w:val="none"/>
          <w:shd w:val="clear" w:color="auto" w:fill="FFFFFF"/>
          <w:lang w:val="en-US" w:eastAsia="zh-CN"/>
        </w:rPr>
        <w:t>1.《财政部 税务总局关于完善增值税期末留抵退税政策的公告》（2025年第7号）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FFFFFF"/>
          <w:lang w:val="en-US" w:eastAsia="zh-CN"/>
        </w:rPr>
      </w:pPr>
      <w:r>
        <w:rPr>
          <w:rFonts w:hint="default" w:ascii="黑体" w:hAnsi="黑体" w:eastAsia="黑体" w:cs="黑体"/>
          <w:b w:val="0"/>
          <w:bCs w:val="0"/>
          <w:color w:val="auto"/>
          <w:sz w:val="32"/>
          <w:szCs w:val="32"/>
          <w:highlight w:val="none"/>
          <w:shd w:val="clear" w:color="auto" w:fill="FFFFFF"/>
          <w:lang w:val="en-US" w:eastAsia="zh-CN"/>
        </w:rPr>
        <w:t>2.《国家税务总局关于办理增值税期末留抵退税有关征管事项的公告》（国家税务总局公告2025年第20号）</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eastAsia="zh-CN"/>
        </w:rPr>
      </w:pPr>
      <w:bookmarkStart w:id="139" w:name="_Toc22660"/>
      <w:bookmarkStart w:id="140" w:name="_Toc1089692739"/>
      <w:bookmarkStart w:id="141" w:name="_Toc11317"/>
      <w:bookmarkStart w:id="142" w:name="_Toc2317"/>
      <w:bookmarkStart w:id="143" w:name="_Toc27853"/>
      <w:bookmarkStart w:id="144" w:name="_Toc1236"/>
      <w:bookmarkStart w:id="145" w:name="_Toc16266"/>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46" w:name="_Toc11492"/>
      <w:bookmarkStart w:id="147" w:name="_Toc14075"/>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重大技术装备进口免征增值税政策</w:t>
      </w:r>
      <w:bookmarkEnd w:id="139"/>
      <w:bookmarkEnd w:id="140"/>
      <w:bookmarkEnd w:id="141"/>
      <w:bookmarkEnd w:id="142"/>
      <w:bookmarkEnd w:id="143"/>
      <w:bookmarkEnd w:id="144"/>
      <w:bookmarkEnd w:id="145"/>
      <w:bookmarkEnd w:id="146"/>
      <w:bookmarkEnd w:id="147"/>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生产国家支持发展的重大技术装备或产品的企业及核电领域承担重大技术装备依托项目的业主</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default" w:ascii="仿宋_GB2312" w:eastAsia="仿宋_GB2312"/>
          <w:color w:val="auto"/>
          <w:sz w:val="32"/>
          <w:szCs w:val="32"/>
          <w:highlight w:val="none"/>
          <w:shd w:val="clear" w:color="auto" w:fill="FFFFFF"/>
        </w:rPr>
      </w:pPr>
      <w:r>
        <w:rPr>
          <w:rFonts w:hint="default" w:ascii="仿宋_GB2312" w:eastAsia="仿宋_GB2312"/>
          <w:color w:val="auto"/>
          <w:sz w:val="32"/>
          <w:szCs w:val="32"/>
          <w:highlight w:val="none"/>
          <w:shd w:val="clear" w:color="auto" w:fill="FFFFFF"/>
        </w:rPr>
        <w:t>符合规定条件的企业及核电项目业主为生产国家支持发展的重大技术装备或产品而确有必要进口的部分关键零部件及原材料，免征关税和进口环节增值税。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工业和信息化部 海关总署 税务总局 能源局关于印发&lt;重大技术装备进口税收政策管理办法&gt;的通知》（财关税〔2020〕2号）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2.《工业和信息化部等部门关于印发&lt;重大技术装备进口税收政策管理办法实施细则&gt;的通知》（工信部联财〔2020〕118号）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3.《工业和信息化部等五部门关于调整重大技术装备进口税收政策有关目录的通知》（工信部联重装〔2025〕26号）</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148" w:name="_Toc31846"/>
      <w:bookmarkStart w:id="149" w:name="_Toc11054"/>
      <w:bookmarkStart w:id="150" w:name="_Toc6734"/>
      <w:bookmarkStart w:id="151" w:name="_Toc28046"/>
      <w:bookmarkStart w:id="152" w:name="_Toc676994263"/>
      <w:bookmarkStart w:id="153" w:name="_Toc1074"/>
      <w:bookmarkStart w:id="154" w:name="_Toc16282"/>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155" w:name="_Toc1051"/>
      <w:bookmarkStart w:id="156" w:name="_Toc9286"/>
      <w:r>
        <w:rPr>
          <w:rFonts w:hint="eastAsia" w:ascii="仿宋_GB2312" w:hAnsi="仿宋_GB2312" w:eastAsia="仿宋_GB2312" w:cs="仿宋_GB2312"/>
          <w:b/>
          <w:bCs/>
          <w:color w:val="auto"/>
          <w:sz w:val="32"/>
          <w:szCs w:val="32"/>
          <w:highlight w:val="none"/>
          <w:lang w:val="en-US" w:eastAsia="zh-CN"/>
        </w:rPr>
        <w:t>2.非居民企业税收政策</w:t>
      </w:r>
      <w:bookmarkEnd w:id="148"/>
      <w:bookmarkEnd w:id="149"/>
      <w:bookmarkEnd w:id="155"/>
      <w:bookmarkEnd w:id="156"/>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57" w:name="_Toc31042"/>
      <w:bookmarkStart w:id="158" w:name="_Toc284"/>
      <w:bookmarkStart w:id="159" w:name="_Toc11584"/>
      <w:bookmarkStart w:id="160" w:name="_Toc18897"/>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非居民企业</w:t>
      </w:r>
      <w:r>
        <w:rPr>
          <w:rFonts w:hint="eastAsia" w:ascii="仿宋_GB2312" w:hAnsi="仿宋_GB2312" w:eastAsia="仿宋_GB2312" w:cs="仿宋_GB2312"/>
          <w:b/>
          <w:bCs/>
          <w:color w:val="auto"/>
          <w:sz w:val="32"/>
          <w:szCs w:val="32"/>
          <w:highlight w:val="none"/>
          <w:lang w:eastAsia="zh-CN"/>
        </w:rPr>
        <w:t>设立机构、场所相关</w:t>
      </w:r>
      <w:r>
        <w:rPr>
          <w:rFonts w:hint="eastAsia" w:ascii="仿宋_GB2312" w:hAnsi="仿宋_GB2312" w:eastAsia="仿宋_GB2312" w:cs="仿宋_GB2312"/>
          <w:b/>
          <w:bCs/>
          <w:color w:val="auto"/>
          <w:sz w:val="32"/>
          <w:szCs w:val="32"/>
          <w:highlight w:val="none"/>
        </w:rPr>
        <w:t>政策</w:t>
      </w:r>
      <w:bookmarkEnd w:id="150"/>
      <w:bookmarkEnd w:id="151"/>
      <w:bookmarkEnd w:id="157"/>
      <w:bookmarkEnd w:id="158"/>
      <w:bookmarkEnd w:id="159"/>
      <w:r>
        <w:rPr>
          <w:rStyle w:val="23"/>
          <w:rFonts w:hint="eastAsia" w:ascii="仿宋_GB2312" w:hAnsi="仿宋_GB2312" w:eastAsia="仿宋_GB2312" w:cs="仿宋_GB2312"/>
          <w:b/>
          <w:bCs/>
          <w:color w:val="auto"/>
          <w:sz w:val="32"/>
          <w:szCs w:val="32"/>
          <w:highlight w:val="none"/>
        </w:rPr>
        <w:footnoteReference w:id="0"/>
      </w:r>
      <w:bookmarkEnd w:id="16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楷体_GB2312" w:cs="楷体_GB2312"/>
          <w:bCs/>
          <w:color w:val="auto"/>
          <w:sz w:val="32"/>
          <w:szCs w:val="32"/>
          <w:highlight w:val="none"/>
          <w:shd w:val="clear" w:color="auto" w:fill="FFFFFF"/>
          <w:lang w:eastAsia="zh-CN"/>
        </w:rPr>
      </w:pPr>
      <w:r>
        <w:rPr>
          <w:rFonts w:hint="default" w:ascii="仿宋_GB2312" w:hAnsi="仿宋_GB2312" w:eastAsia="仿宋_GB2312" w:cs="仿宋_GB2312"/>
          <w:color w:val="auto"/>
          <w:kern w:val="0"/>
          <w:sz w:val="32"/>
          <w:szCs w:val="32"/>
          <w:highlight w:val="none"/>
          <w:shd w:val="clear" w:color="auto" w:fill="FFFFFF"/>
          <w:lang w:val="en-US" w:eastAsia="zh-CN"/>
        </w:rPr>
        <w:t>非居民企业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kern w:val="0"/>
          <w:sz w:val="32"/>
          <w:szCs w:val="32"/>
          <w:highlight w:val="none"/>
          <w:shd w:val="clear" w:color="auto" w:fill="FFFFFF"/>
          <w:lang w:val="en-US" w:eastAsia="zh-CN"/>
        </w:rPr>
      </w:pPr>
      <w:r>
        <w:rPr>
          <w:rFonts w:hint="default" w:ascii="仿宋_GB2312" w:hAnsi="仿宋_GB2312" w:eastAsia="仿宋_GB2312" w:cs="仿宋_GB2312"/>
          <w:color w:val="auto"/>
          <w:kern w:val="0"/>
          <w:sz w:val="32"/>
          <w:szCs w:val="32"/>
          <w:highlight w:val="none"/>
          <w:shd w:val="clear" w:color="auto" w:fill="FFFFFF"/>
          <w:lang w:val="en-US" w:eastAsia="zh-CN"/>
        </w:rPr>
        <w:t>非居民企业在中国境内设立机构、场所的，应当就其所设机构、场所取得的来源于中国境内的所得，以及发生在中国境外但与其所设机构、场所有实际联系的所得，缴纳企业所得税。</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kern w:val="0"/>
          <w:sz w:val="32"/>
          <w:szCs w:val="32"/>
          <w:highlight w:val="none"/>
          <w:shd w:val="clear" w:color="auto" w:fill="FFFFFF"/>
          <w:lang w:val="en-US"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如</w:t>
      </w:r>
      <w:r>
        <w:rPr>
          <w:rFonts w:hint="default" w:ascii="仿宋_GB2312" w:hAnsi="仿宋_GB2312" w:eastAsia="仿宋_GB2312" w:cs="仿宋_GB2312"/>
          <w:color w:val="auto"/>
          <w:kern w:val="0"/>
          <w:sz w:val="32"/>
          <w:szCs w:val="32"/>
          <w:highlight w:val="none"/>
          <w:shd w:val="clear" w:color="auto" w:fill="FFFFFF"/>
          <w:lang w:val="en-US" w:eastAsia="zh-CN"/>
        </w:rPr>
        <w:t>非居民企业在中国境内承包工程作业或提供劳务项目的，企业所得税按纳税年度计算、分季预缴，年终汇算清缴，并在工程项目完工或劳务合同履行完毕后结清税款。对非居民企业在中国境内取得工程作业和劳务所得应缴纳的所得税，税务机关可以指定工程价款或者劳务费的支付人为扣缴义务人。</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kern w:val="0"/>
          <w:sz w:val="32"/>
          <w:szCs w:val="32"/>
          <w:highlight w:val="none"/>
          <w:shd w:val="clear" w:color="auto" w:fill="FFFFFF"/>
          <w:lang w:val="en-US" w:eastAsia="zh-CN"/>
        </w:rPr>
      </w:pPr>
      <w:r>
        <w:rPr>
          <w:rFonts w:hint="default" w:ascii="仿宋_GB2312" w:hAnsi="仿宋_GB2312" w:eastAsia="仿宋_GB2312" w:cs="仿宋_GB2312"/>
          <w:color w:val="auto"/>
          <w:kern w:val="0"/>
          <w:sz w:val="32"/>
          <w:szCs w:val="32"/>
          <w:highlight w:val="none"/>
          <w:shd w:val="clear" w:color="auto" w:fill="FFFFFF"/>
          <w:lang w:val="en-US" w:eastAsia="zh-CN"/>
        </w:rPr>
        <w:t>如我国与相关非居民企业的居民国签有税收协定（包括内地与港、澳签署的税收安排，大陆与台湾签署的税收协议），且相关税收协定（安排、协议）已生效执行，则只有在该非居民企业在境内构成常设机构的情况下，我国才有权对其归属于境内常设机构的营业利润征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1.《中华人民共和国企业所得税法》</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bookmarkStart w:id="161" w:name="_Toc4462"/>
      <w:bookmarkStart w:id="162" w:name="_Toc14209"/>
      <w:bookmarkStart w:id="163" w:name="_Toc16872"/>
      <w:bookmarkStart w:id="164" w:name="_Toc14464"/>
      <w:r>
        <w:rPr>
          <w:rFonts w:hint="eastAsia" w:ascii="黑体" w:hAnsi="黑体" w:eastAsia="黑体" w:cs="黑体"/>
          <w:b w:val="0"/>
          <w:bCs w:val="0"/>
          <w:color w:val="auto"/>
          <w:sz w:val="32"/>
          <w:szCs w:val="32"/>
          <w:highlight w:val="none"/>
          <w:shd w:val="clear" w:color="auto" w:fill="FFFFFF"/>
          <w:lang w:val="en-US" w:eastAsia="zh-CN"/>
        </w:rPr>
        <w:t>2.《中华人民共和国企业所得税法实施条例》</w:t>
      </w:r>
      <w:bookmarkEnd w:id="161"/>
      <w:bookmarkEnd w:id="162"/>
      <w:bookmarkEnd w:id="163"/>
      <w:bookmarkEnd w:id="164"/>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bookmarkStart w:id="165" w:name="_Toc11380"/>
      <w:bookmarkStart w:id="166" w:name="_Toc17489"/>
      <w:bookmarkStart w:id="167" w:name="_Toc15872"/>
      <w:bookmarkStart w:id="168" w:name="_Toc1194"/>
      <w:r>
        <w:rPr>
          <w:rFonts w:hint="eastAsia" w:ascii="黑体" w:hAnsi="黑体" w:eastAsia="黑体" w:cs="黑体"/>
          <w:b w:val="0"/>
          <w:bCs w:val="0"/>
          <w:color w:val="auto"/>
          <w:sz w:val="32"/>
          <w:szCs w:val="32"/>
          <w:highlight w:val="none"/>
          <w:shd w:val="clear" w:color="auto" w:fill="FFFFFF"/>
          <w:lang w:val="en-US" w:eastAsia="zh-CN"/>
        </w:rPr>
        <w:t>3.《非居民承包工程作业和提供劳务税收管理暂行办法》（国家税务总局令第19号）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4.国家税务总局关于印发 《〈中华人民共和国政府和新加坡共和国政府关于对所得避免双重征税和防止偷漏税的协定〉及议定书条文解释》的通知（国税发〔2010〕75号）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5.我国与各国签订的税收协定（包括内地与港、澳签署的税收安排，大陆与台湾签署的税收协议）可参见国家税务总局税路通专栏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169" w:name="_Toc4765"/>
      <w:bookmarkStart w:id="170" w:name="_Toc16292"/>
      <w:r>
        <w:rPr>
          <w:rFonts w:hint="eastAsia" w:ascii="仿宋_GB2312" w:hAnsi="仿宋_GB2312" w:eastAsia="仿宋_GB2312" w:cs="仿宋_GB2312"/>
          <w:b/>
          <w:bCs/>
          <w:color w:val="auto"/>
          <w:sz w:val="32"/>
          <w:szCs w:val="32"/>
          <w:highlight w:val="none"/>
          <w:lang w:val="en-US" w:eastAsia="zh-CN"/>
        </w:rPr>
        <w:t>（2）非居民企业所得税源泉扣缴政策</w:t>
      </w:r>
      <w:bookmarkEnd w:id="165"/>
      <w:bookmarkEnd w:id="166"/>
      <w:bookmarkEnd w:id="167"/>
      <w:bookmarkEnd w:id="168"/>
      <w:bookmarkEnd w:id="169"/>
      <w:bookmarkEnd w:id="17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楷体_GB2312" w:cs="楷体_GB2312"/>
          <w:bCs/>
          <w:color w:val="auto"/>
          <w:sz w:val="32"/>
          <w:szCs w:val="32"/>
          <w:highlight w:val="none"/>
          <w:shd w:val="clear" w:color="auto" w:fill="FFFFFF"/>
          <w:lang w:eastAsia="zh-CN"/>
        </w:rPr>
      </w:pPr>
      <w:r>
        <w:rPr>
          <w:rFonts w:hint="eastAsia" w:ascii="仿宋_GB2312" w:eastAsia="仿宋_GB2312" w:cs="Times New Roman"/>
          <w:color w:val="auto"/>
          <w:kern w:val="0"/>
          <w:sz w:val="32"/>
          <w:szCs w:val="32"/>
          <w:highlight w:val="none"/>
          <w:shd w:val="clear" w:color="auto" w:fill="FFFFFF"/>
          <w:lang w:val="en-US" w:eastAsia="zh-CN" w:bidi="ar-SA"/>
        </w:rPr>
        <w:t>部分非居民企业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keepNext w:val="0"/>
        <w:keepLines w:val="0"/>
        <w:pageBreakBefore w:val="0"/>
        <w:kinsoku/>
        <w:wordWrap/>
        <w:overflowPunct/>
        <w:topLinePunct w:val="0"/>
        <w:autoSpaceDE/>
        <w:autoSpaceDN/>
        <w:bidi w:val="0"/>
        <w:adjustRightInd/>
        <w:snapToGrid/>
        <w:spacing w:line="360" w:lineRule="auto"/>
        <w:ind w:left="41" w:right="13"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对非居民企业取得企业所得税法</w:t>
      </w:r>
      <w:r>
        <w:rPr>
          <w:rFonts w:hint="eastAsia" w:ascii="仿宋_GB2312" w:hAnsi="宋体" w:eastAsia="仿宋_GB2312" w:cs="Times New Roman"/>
          <w:color w:val="auto"/>
          <w:kern w:val="0"/>
          <w:sz w:val="32"/>
          <w:szCs w:val="32"/>
          <w:highlight w:val="none"/>
          <w:shd w:val="clear" w:color="auto" w:fill="FFFFFF"/>
        </w:rPr>
        <w:t>第三条第三款</w:t>
      </w:r>
      <w:r>
        <w:rPr>
          <w:rFonts w:hint="eastAsia" w:ascii="仿宋_GB2312" w:hAnsi="宋体" w:eastAsia="仿宋_GB2312" w:cs="Times New Roman"/>
          <w:color w:val="auto"/>
          <w:kern w:val="0"/>
          <w:sz w:val="32"/>
          <w:szCs w:val="32"/>
          <w:highlight w:val="none"/>
          <w:shd w:val="clear" w:color="auto" w:fill="FFFFFF"/>
          <w:lang w:val="en-US" w:eastAsia="zh-CN" w:bidi="ar-SA"/>
        </w:rPr>
        <w:t>规定的所得应缴纳的所得税，实行源泉扣缴，以支付人为扣缴义务人。税款由扣缴义务人在每次支付或者到期应支付时，从支付或者到期应支付的款项中扣缴。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1.《中华人民共和国企业所得税法》</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2.《中华人民共和国企业所得税法实施条例》</w:t>
      </w:r>
    </w:p>
    <w:bookmarkEnd w:id="152"/>
    <w:bookmarkEnd w:id="153"/>
    <w:bookmarkEnd w:id="154"/>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171" w:name="_Toc24464"/>
      <w:bookmarkStart w:id="172" w:name="_Toc2521"/>
      <w:bookmarkStart w:id="173" w:name="_Toc10561"/>
      <w:bookmarkStart w:id="174" w:name="_Toc22229"/>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175" w:name="_Toc2811"/>
      <w:bookmarkStart w:id="176" w:name="_Toc18148"/>
      <w:r>
        <w:rPr>
          <w:rFonts w:hint="eastAsia" w:ascii="仿宋_GB2312" w:hAnsi="仿宋_GB2312" w:eastAsia="仿宋_GB2312" w:cs="仿宋_GB2312"/>
          <w:b/>
          <w:bCs/>
          <w:color w:val="auto"/>
          <w:sz w:val="32"/>
          <w:szCs w:val="32"/>
          <w:highlight w:val="none"/>
          <w:lang w:val="en-US" w:eastAsia="zh-CN"/>
        </w:rPr>
        <w:t>（3）服务贸易等项目对外支付税务备案</w:t>
      </w:r>
      <w:bookmarkEnd w:id="171"/>
      <w:bookmarkEnd w:id="172"/>
      <w:bookmarkEnd w:id="173"/>
      <w:bookmarkEnd w:id="174"/>
      <w:bookmarkEnd w:id="175"/>
      <w:r>
        <w:rPr>
          <w:rStyle w:val="23"/>
          <w:rFonts w:hint="eastAsia" w:ascii="仿宋_GB2312" w:hAnsi="仿宋_GB2312" w:eastAsia="仿宋_GB2312" w:cs="仿宋_GB2312"/>
          <w:b/>
          <w:bCs/>
          <w:color w:val="auto"/>
          <w:sz w:val="32"/>
          <w:szCs w:val="32"/>
          <w:highlight w:val="none"/>
          <w:lang w:val="en-US" w:eastAsia="zh-CN"/>
        </w:rPr>
        <w:footnoteReference w:id="1"/>
      </w:r>
      <w:bookmarkEnd w:id="176"/>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楷体_GB2312" w:hAnsi="楷体_GB2312" w:eastAsia="楷体_GB2312" w:cs="楷体_GB2312"/>
          <w:bCs/>
          <w:color w:val="auto"/>
          <w:sz w:val="32"/>
          <w:szCs w:val="32"/>
          <w:highlight w:val="none"/>
          <w:shd w:val="clear" w:color="auto" w:fill="FFFFFF"/>
          <w:lang w:eastAsia="zh-CN"/>
        </w:rPr>
      </w:pPr>
      <w:r>
        <w:rPr>
          <w:rFonts w:hint="eastAsia" w:ascii="仿宋_GB2312" w:eastAsia="仿宋_GB2312" w:cs="Times New Roman"/>
          <w:b w:val="0"/>
          <w:bCs w:val="0"/>
          <w:color w:val="auto"/>
          <w:sz w:val="32"/>
          <w:szCs w:val="32"/>
          <w:highlight w:val="none"/>
          <w:shd w:val="clear" w:color="auto" w:fill="FFFFFF"/>
          <w:lang w:val="en-US" w:eastAsia="zh-CN"/>
        </w:rPr>
        <w:t>向境外支付外汇资金的境内机构和个人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境内机构和个人向境外单笔支付等值5万美元以上（不含等值5万美元）下列外汇资金，除规定的情形外，均应向所在地主管税务机关进行税务备案：</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1.境外机构或个人从境内获得的包括运输、旅游、通信、建筑安装及劳务承包、保险服务、金融服务、计算机和信息服务、专有权利使用和特许、体育文化和娱乐服务、其他商业服务、政府服务等服务贸易收入；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2.境外个人在境内的工作报酬，境外机构或个人从境内获得的股息、红利、利润、直接债务利息、担保费以及非资本转移的捐赠、赔偿、税收、偶然性所得等收益和经常转移收入；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3.境外机构或个人从境内获得的融资租赁租金、不动产的转让收入、股权转让所得以及外国投资者其他合法所得。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1.《国家税务总局国家外汇管理局关于服务贸易等项目对外支付税务备案有关问题的公告》（国家税务总局国家外汇管理局公告2013年第40号）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2.《国家税务总局关于修改部分税收规范性文件的公告》（国家税务总局公告2018年第31号）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3.《国家税务总局 国家外汇管理局关于服务贸易等项目对外支付税务备案有关问题的补充公告》（国家税务总局 国家外汇管理局公告2021年第19号）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eastAsia="仿宋_GB2312"/>
          <w:color w:val="auto"/>
          <w:sz w:val="32"/>
          <w:szCs w:val="32"/>
          <w:highlight w:val="none"/>
          <w:shd w:val="clear" w:color="auto" w:fill="FFFFFF"/>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177" w:name="_Toc10430"/>
      <w:bookmarkStart w:id="178" w:name="_Toc11033"/>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rPr>
        <w:t>符合条件的非居民纳税人享受协定待遇</w:t>
      </w:r>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bookmarkStart w:id="179" w:name="_Toc18609"/>
      <w:r>
        <w:rPr>
          <w:rFonts w:hint="eastAsia" w:asciiTheme="minorEastAsia" w:hAnsiTheme="minorEastAsia" w:eastAsiaTheme="minorEastAsia" w:cstheme="minorEastAsia"/>
          <w:color w:val="auto"/>
          <w:sz w:val="32"/>
          <w:szCs w:val="32"/>
          <w:highlight w:val="none"/>
          <w:lang w:val="en-US"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Cs w:val="0"/>
          <w:color w:val="auto"/>
          <w:sz w:val="32"/>
          <w:szCs w:val="32"/>
          <w:highlight w:val="none"/>
          <w:shd w:val="clear" w:color="auto" w:fill="FFFFFF"/>
          <w:lang w:eastAsia="zh-CN"/>
        </w:rPr>
      </w:pPr>
      <w:r>
        <w:rPr>
          <w:rFonts w:hint="eastAsia" w:ascii="仿宋_GB2312" w:hAnsi="宋体" w:eastAsia="仿宋_GB2312" w:cs="Times New Roman"/>
          <w:color w:val="auto"/>
          <w:sz w:val="32"/>
          <w:szCs w:val="32"/>
          <w:highlight w:val="none"/>
          <w:u w:val="none" w:color="063C97"/>
          <w:shd w:val="clear" w:color="auto" w:fill="FFFFFF"/>
        </w:rPr>
        <w:t>在中国境内发生纳税义务</w:t>
      </w:r>
      <w:r>
        <w:rPr>
          <w:rFonts w:hint="eastAsia" w:ascii="仿宋_GB2312" w:eastAsia="仿宋_GB2312" w:cs="Times New Roman"/>
          <w:color w:val="auto"/>
          <w:sz w:val="32"/>
          <w:szCs w:val="32"/>
          <w:highlight w:val="none"/>
          <w:u w:val="none" w:color="063C97"/>
          <w:shd w:val="clear" w:color="auto" w:fill="FFFFFF"/>
          <w:lang w:val="en-US" w:eastAsia="zh-CN"/>
        </w:rPr>
        <w:t>并</w:t>
      </w:r>
      <w:r>
        <w:rPr>
          <w:rFonts w:hint="eastAsia" w:ascii="仿宋_GB2312" w:hAnsi="宋体" w:eastAsia="仿宋_GB2312" w:cs="Times New Roman"/>
          <w:color w:val="auto"/>
          <w:sz w:val="32"/>
          <w:szCs w:val="32"/>
          <w:highlight w:val="none"/>
          <w:u w:val="none" w:color="063C97"/>
          <w:shd w:val="clear" w:color="auto" w:fill="FFFFFF"/>
        </w:rPr>
        <w:t>享受协定待遇的非居民纳税人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bookmarkEnd w:id="179"/>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ascii="仿宋_GB2312" w:eastAsia="仿宋_GB2312"/>
          <w:color w:val="auto"/>
          <w:sz w:val="32"/>
          <w:szCs w:val="32"/>
          <w:highlight w:val="none"/>
          <w:shd w:val="clear" w:color="auto" w:fill="FFFFFF"/>
        </w:rPr>
      </w:pPr>
      <w:r>
        <w:rPr>
          <w:rFonts w:ascii="仿宋_GB2312" w:eastAsia="仿宋_GB2312"/>
          <w:color w:val="auto"/>
          <w:sz w:val="32"/>
          <w:szCs w:val="32"/>
          <w:highlight w:val="none"/>
          <w:shd w:val="clear" w:color="auto" w:fill="FFFFFF"/>
        </w:rPr>
        <w:t>税收协定是两个或两个以上主权国家（或税收管辖区），为协调相互之间的税收管辖关系和处理有关税务问题，通过谈判缔结的书面协议。税收协定主要作用包括降低纳税人在收入来源国的税负、有效消除双重征税、提高税收确定性和通过相互协商机制妥善解决涉税争议等。</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eastAsia="仿宋_GB2312"/>
          <w:color w:val="auto"/>
          <w:sz w:val="32"/>
          <w:szCs w:val="32"/>
          <w:highlight w:val="none"/>
          <w:shd w:val="clear" w:color="auto" w:fill="FFFFFF"/>
        </w:rPr>
      </w:pPr>
      <w:r>
        <w:rPr>
          <w:rFonts w:hint="default" w:ascii="仿宋_GB2312" w:eastAsia="仿宋_GB2312"/>
          <w:color w:val="auto"/>
          <w:sz w:val="32"/>
          <w:szCs w:val="32"/>
          <w:highlight w:val="none"/>
          <w:shd w:val="clear" w:color="auto" w:fill="FFFFFF"/>
        </w:rPr>
        <w:t>非居民纳税人享受协定待遇，采取“自行判断、申报享受、相关资料留存备查”的方式办理。非居民纳税人自行判断符合享受协定待遇条件的，可在纳税申报时，或通过扣缴义务人在扣缴申报时，自行享受协定待遇，同时按照本办法的规定归集和留存相关资料备查，并接受税务机关后续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outlineLvl w:val="9"/>
        <w:rPr>
          <w:rFonts w:hint="default" w:ascii="黑体" w:hAnsi="黑体" w:eastAsia="黑体" w:cs="黑体"/>
          <w:color w:val="auto"/>
          <w:kern w:val="0"/>
          <w:sz w:val="32"/>
          <w:szCs w:val="32"/>
          <w:highlight w:val="none"/>
          <w:shd w:val="clear" w:color="auto" w:fill="FFFFFF"/>
          <w:lang w:val="en-US" w:eastAsia="zh-CN"/>
        </w:rPr>
      </w:pPr>
      <w:r>
        <w:rPr>
          <w:rFonts w:hint="eastAsia" w:ascii="黑体" w:hAnsi="黑体" w:eastAsia="黑体" w:cs="黑体"/>
          <w:color w:val="auto"/>
          <w:kern w:val="0"/>
          <w:sz w:val="32"/>
          <w:szCs w:val="32"/>
          <w:highlight w:val="none"/>
          <w:shd w:val="clear" w:color="auto" w:fill="FFFFFF"/>
          <w:lang w:val="en-US" w:eastAsia="zh-CN"/>
        </w:rPr>
        <w:t>1.国家税务总局关于印发 《〈中华人民共和国政府和新加坡共和国政府关于对所得避免双重征税和防止偷漏税的协定〉及议定书条文解释》的通知（国税发〔2010〕75号）</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kern w:val="0"/>
          <w:sz w:val="32"/>
          <w:szCs w:val="32"/>
          <w:highlight w:val="none"/>
          <w:shd w:val="clear" w:color="auto" w:fill="FFFFFF"/>
        </w:rPr>
      </w:pPr>
      <w:r>
        <w:rPr>
          <w:rFonts w:hint="eastAsia" w:ascii="黑体" w:hAnsi="黑体" w:eastAsia="黑体" w:cs="黑体"/>
          <w:color w:val="auto"/>
          <w:kern w:val="0"/>
          <w:sz w:val="32"/>
          <w:szCs w:val="32"/>
          <w:highlight w:val="none"/>
          <w:shd w:val="clear" w:color="auto" w:fill="FFFFFF"/>
          <w:lang w:val="en-US" w:eastAsia="zh-CN"/>
        </w:rPr>
        <w:t>2.</w:t>
      </w:r>
      <w:r>
        <w:rPr>
          <w:rFonts w:hint="eastAsia" w:ascii="黑体" w:hAnsi="黑体" w:eastAsia="黑体" w:cs="黑体"/>
          <w:color w:val="auto"/>
          <w:kern w:val="0"/>
          <w:sz w:val="32"/>
          <w:szCs w:val="32"/>
          <w:highlight w:val="none"/>
          <w:shd w:val="clear" w:color="auto" w:fill="FFFFFF"/>
        </w:rPr>
        <w:t>《国家税务总局关于发布&lt;非居民纳税人享受协定待遇管理办法&gt;的公告》（国家税务总局公告2019年第35号）</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kern w:val="0"/>
          <w:sz w:val="32"/>
          <w:szCs w:val="32"/>
          <w:highlight w:val="none"/>
          <w:shd w:val="clear" w:color="auto" w:fill="FFFFFF"/>
          <w:lang w:val="en-US" w:eastAsia="zh-CN"/>
        </w:rPr>
      </w:pPr>
      <w:r>
        <w:rPr>
          <w:rFonts w:hint="eastAsia" w:ascii="黑体" w:hAnsi="黑体" w:eastAsia="黑体" w:cs="黑体"/>
          <w:color w:val="auto"/>
          <w:kern w:val="0"/>
          <w:sz w:val="32"/>
          <w:szCs w:val="32"/>
          <w:highlight w:val="none"/>
          <w:shd w:val="clear" w:color="auto" w:fill="FFFFFF"/>
          <w:lang w:val="en-US" w:eastAsia="zh-CN"/>
        </w:rPr>
        <w:t>3.我国与各国签订的税收协定（包括内地与港、澳签署的税收安排，大陆与台湾签署的税收协议）可参见国家税务总局税路通专栏</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ascii="仿宋_GB2312" w:eastAsia="仿宋_GB2312"/>
          <w:color w:val="auto"/>
          <w:sz w:val="32"/>
          <w:szCs w:val="32"/>
          <w:highlight w:val="none"/>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180" w:name="_Toc18194"/>
      <w:bookmarkStart w:id="181" w:name="_Toc23557"/>
      <w:r>
        <w:rPr>
          <w:rFonts w:hint="eastAsia" w:ascii="楷体_GB2312" w:hAnsi="楷体_GB2312" w:eastAsia="楷体_GB2312" w:cs="楷体_GB2312"/>
          <w:color w:val="auto"/>
          <w:sz w:val="32"/>
          <w:szCs w:val="32"/>
          <w:highlight w:val="none"/>
          <w:lang w:val="en-US" w:eastAsia="zh-CN"/>
        </w:rPr>
        <w:t>（三）项目投产阶段</w:t>
      </w:r>
      <w:bookmarkEnd w:id="180"/>
      <w:bookmarkEnd w:id="18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182" w:name="_Toc8351"/>
      <w:bookmarkStart w:id="183" w:name="_Toc8947"/>
      <w:bookmarkStart w:id="184" w:name="_Toc26717"/>
      <w:bookmarkStart w:id="185" w:name="_Toc4685"/>
      <w:r>
        <w:rPr>
          <w:rFonts w:hint="eastAsia" w:ascii="仿宋_GB2312" w:hAnsi="仿宋_GB2312" w:eastAsia="仿宋_GB2312" w:cs="仿宋_GB2312"/>
          <w:b/>
          <w:bCs/>
          <w:color w:val="auto"/>
          <w:sz w:val="32"/>
          <w:szCs w:val="32"/>
          <w:highlight w:val="none"/>
          <w:lang w:val="en-US" w:eastAsia="zh-CN"/>
        </w:rPr>
        <w:t>1.吸纳人才税收政策</w:t>
      </w:r>
      <w:bookmarkEnd w:id="182"/>
      <w:bookmarkEnd w:id="183"/>
      <w:bookmarkEnd w:id="184"/>
      <w:bookmarkEnd w:id="185"/>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186" w:name="_Toc13772"/>
      <w:bookmarkStart w:id="187" w:name="_Toc1012"/>
      <w:bookmarkStart w:id="188" w:name="_Toc4166"/>
      <w:bookmarkStart w:id="189" w:name="_Toc13835"/>
      <w:r>
        <w:rPr>
          <w:rFonts w:hint="eastAsia" w:ascii="仿宋_GB2312" w:hAnsi="仿宋_GB2312" w:eastAsia="仿宋_GB2312" w:cs="仿宋_GB2312"/>
          <w:b/>
          <w:bCs/>
          <w:color w:val="auto"/>
          <w:sz w:val="32"/>
          <w:szCs w:val="32"/>
          <w:highlight w:val="none"/>
          <w:lang w:val="en-US" w:eastAsia="zh-CN"/>
        </w:rPr>
        <w:t>（1）外籍个人津补贴个人所得税优惠政策</w:t>
      </w:r>
      <w:bookmarkEnd w:id="186"/>
      <w:bookmarkEnd w:id="187"/>
      <w:bookmarkEnd w:id="188"/>
      <w:bookmarkEnd w:id="18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【适用主体】</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lang w:val="en-US" w:eastAsia="zh-CN"/>
        </w:rPr>
        <w:t>符合居民个人条件的外籍个人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自2019年1月1日起至2027年12月31日止，外籍个人符合居民个人条件的，可以选择享受个人所得税专项附加扣除，也可以选择按照有关规定享受住房补贴、语言训练费、子女教育费等津补贴免税优惠政策，但不得同时享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【政策依据】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1.《财政部国家税务总局关于个人所得税若干政策问题的通知》（财税〔1994〕20号）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2.《国家税务总局关于外籍个人取得有关补贴征免个人所得税执行问题的通知》（国税发〔1997〕54号）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3.《财政部税务总局关于个人所得税法修改后有关优惠政策衔接问题的通知》（财税〔2018〕164号）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4.《财政部税务总局关于延续实施外籍个人津补贴等有关个人所得税优惠政策的公告》（2021年第43号）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5.《财政部税务总局关于延续实施外籍个人有关津补贴个人所得税政策的公告》（2023年第29号）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190" w:name="_Toc18167"/>
      <w:bookmarkStart w:id="191" w:name="_Toc22802"/>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192" w:name="_Toc4727"/>
      <w:bookmarkStart w:id="193" w:name="_Toc24515"/>
      <w:r>
        <w:rPr>
          <w:rFonts w:hint="eastAsia" w:ascii="仿宋_GB2312" w:hAnsi="仿宋_GB2312" w:eastAsia="仿宋_GB2312" w:cs="仿宋_GB2312"/>
          <w:b/>
          <w:bCs/>
          <w:color w:val="auto"/>
          <w:sz w:val="32"/>
          <w:szCs w:val="32"/>
          <w:highlight w:val="none"/>
          <w:lang w:val="en-US" w:eastAsia="zh-CN"/>
        </w:rPr>
        <w:t>（2）股权激励个人所得税政策</w:t>
      </w:r>
      <w:bookmarkEnd w:id="190"/>
      <w:bookmarkEnd w:id="191"/>
      <w:bookmarkEnd w:id="192"/>
      <w:bookmarkEnd w:id="193"/>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取得境内上市公司授予的股票期权、限制性股票和股权奖励的个人</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自2024年1月1日起至2027年12月31日，境内上市公司授予个人的股票期权、限制性股票和股权奖励，经向主管税务机关备案，个人可自股票期权行权、限制性股票解禁或取得股权奖励（以下简称行权）之日起，在不超过36个月的期限内缴纳个人所得税。纳税人在此期间内离职的，应在离职前缴清全部税款。</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napToGrid/>
        <w:spacing w:before="0" w:beforeAutospacing="0" w:after="0" w:afterAutospacing="0" w:line="360" w:lineRule="auto"/>
        <w:ind w:right="0" w:firstLine="640" w:firstLineChars="200"/>
        <w:jc w:val="both"/>
        <w:outlineLvl w:val="9"/>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1.财政部税务总局关于上市公司股权激励有关个人所得税政策的公告（财政部税务总局公告2024年第2号）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194" w:name="_Toc15869"/>
      <w:bookmarkStart w:id="195" w:name="_Toc9063"/>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196" w:name="_Toc28178"/>
      <w:bookmarkStart w:id="197" w:name="_Toc25296"/>
      <w:r>
        <w:rPr>
          <w:rFonts w:hint="eastAsia" w:ascii="仿宋_GB2312" w:hAnsi="仿宋_GB2312" w:eastAsia="仿宋_GB2312" w:cs="仿宋_GB2312"/>
          <w:b/>
          <w:bCs/>
          <w:color w:val="auto"/>
          <w:sz w:val="32"/>
          <w:szCs w:val="32"/>
          <w:highlight w:val="none"/>
          <w:lang w:val="en-US" w:eastAsia="zh-CN"/>
        </w:rPr>
        <w:t>（3）个人以技术成果投资入股递延纳税优惠政策</w:t>
      </w:r>
      <w:bookmarkEnd w:id="194"/>
      <w:bookmarkEnd w:id="195"/>
      <w:bookmarkEnd w:id="196"/>
      <w:bookmarkEnd w:id="197"/>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楷体_GB2312" w:hAnsi="楷体_GB2312" w:eastAsia="楷体_GB2312" w:cs="楷体_GB2312"/>
          <w:bCs/>
          <w:snapToGrid/>
          <w:color w:val="auto"/>
          <w:sz w:val="32"/>
          <w:szCs w:val="32"/>
          <w:highlight w:val="none"/>
          <w:shd w:val="clear" w:color="auto" w:fill="FFFFFF"/>
          <w:lang w:val="en-US" w:eastAsia="zh-CN" w:bidi="ar-SA"/>
        </w:rPr>
      </w:pPr>
      <w:r>
        <w:rPr>
          <w:rFonts w:hint="eastAsia" w:ascii="仿宋_GB2312" w:eastAsia="仿宋_GB2312" w:cs="Times New Roman"/>
          <w:b w:val="0"/>
          <w:bCs w:val="0"/>
          <w:color w:val="auto"/>
          <w:sz w:val="32"/>
          <w:szCs w:val="32"/>
          <w:highlight w:val="none"/>
          <w:shd w:val="clear" w:color="auto" w:fill="FFFFFF"/>
          <w:lang w:val="en-US" w:eastAsia="zh-CN"/>
        </w:rPr>
        <w:t>以技术成果入股的个人</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自2016年9月1日起，个人以技术成果投资入股到境内居民企业，被投资企业支付的对价全部为股票（权）的，个人可选择继续按现行有关税收政策执行，也可选择适用递延纳税优惠政策。</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1.财政部国家税务总局关于完善股权激励和技术入股有关所得税政策的通知（财税〔2016〕101号）</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2.国家税务总局关于股权激励和技术入股所得税征管问题的公告（国家税务总局公告2016年第62号）</w:t>
      </w:r>
    </w:p>
    <w:p>
      <w:pPr>
        <w:keepNext w:val="0"/>
        <w:keepLines w:val="0"/>
        <w:pageBreakBefore w:val="0"/>
        <w:widowControl/>
        <w:kinsoku/>
        <w:wordWrap/>
        <w:overflowPunct/>
        <w:topLinePunct w:val="0"/>
        <w:autoSpaceDE/>
        <w:autoSpaceDN/>
        <w:bidi w:val="0"/>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198" w:name="_Toc20377"/>
      <w:bookmarkStart w:id="199" w:name="_Toc2605"/>
    </w:p>
    <w:p>
      <w:pPr>
        <w:keepNext w:val="0"/>
        <w:keepLines w:val="0"/>
        <w:pageBreakBefore w:val="0"/>
        <w:widowControl/>
        <w:kinsoku/>
        <w:wordWrap/>
        <w:overflowPunct/>
        <w:topLinePunct w:val="0"/>
        <w:autoSpaceDE/>
        <w:autoSpaceDN/>
        <w:bidi w:val="0"/>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200" w:name="_Toc19942"/>
      <w:bookmarkStart w:id="201" w:name="_Toc17253"/>
      <w:r>
        <w:rPr>
          <w:rFonts w:hint="eastAsia" w:ascii="仿宋_GB2312" w:hAnsi="仿宋_GB2312" w:eastAsia="仿宋_GB2312" w:cs="仿宋_GB2312"/>
          <w:b/>
          <w:bCs/>
          <w:color w:val="auto"/>
          <w:sz w:val="32"/>
          <w:szCs w:val="32"/>
          <w:highlight w:val="none"/>
          <w:lang w:val="en-US" w:eastAsia="zh-CN"/>
        </w:rPr>
        <w:t>2.跨境业务税收政策</w:t>
      </w:r>
      <w:bookmarkEnd w:id="198"/>
      <w:bookmarkEnd w:id="199"/>
      <w:bookmarkEnd w:id="200"/>
      <w:bookmarkEnd w:id="201"/>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eastAsia="zh-CN"/>
        </w:rPr>
      </w:pPr>
      <w:bookmarkStart w:id="202" w:name="_Toc2736"/>
      <w:bookmarkStart w:id="203" w:name="_Toc21082"/>
      <w:bookmarkStart w:id="204" w:name="_Toc31011"/>
      <w:bookmarkStart w:id="205" w:name="_Toc1285"/>
      <w:r>
        <w:rPr>
          <w:rFonts w:hint="eastAsia" w:ascii="仿宋_GB2312" w:hAnsi="仿宋_GB2312" w:eastAsia="仿宋_GB2312" w:cs="仿宋_GB2312"/>
          <w:b/>
          <w:bCs/>
          <w:color w:val="auto"/>
          <w:sz w:val="32"/>
          <w:szCs w:val="32"/>
          <w:highlight w:val="none"/>
          <w:lang w:val="en-US" w:eastAsia="zh-CN"/>
        </w:rPr>
        <w:t>（1）出口货物劳务退（免）税政策</w:t>
      </w:r>
      <w:bookmarkEnd w:id="202"/>
      <w:bookmarkEnd w:id="203"/>
      <w:bookmarkEnd w:id="204"/>
      <w:bookmarkEnd w:id="205"/>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1.依法办理市场主体登记、对外贸易经营者备案登记自营或委托出口货物的单位或个体工商户。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楷体_GB2312" w:hAnsi="楷体_GB2312" w:eastAsia="楷体_GB2312" w:cs="楷体_GB2312"/>
          <w:bCs/>
          <w:snapToGrid/>
          <w:color w:val="auto"/>
          <w:sz w:val="32"/>
          <w:szCs w:val="32"/>
          <w:highlight w:val="none"/>
          <w:shd w:val="clear" w:color="auto" w:fill="FFFFFF"/>
          <w:lang w:val="en-US" w:eastAsia="zh-CN" w:bidi="ar-SA"/>
        </w:rPr>
      </w:pPr>
      <w:r>
        <w:rPr>
          <w:rFonts w:hint="default" w:ascii="仿宋_GB2312" w:eastAsia="仿宋_GB2312" w:cs="Times New Roman"/>
          <w:b w:val="0"/>
          <w:bCs w:val="0"/>
          <w:color w:val="auto"/>
          <w:sz w:val="32"/>
          <w:szCs w:val="32"/>
          <w:highlight w:val="none"/>
          <w:shd w:val="clear" w:color="auto" w:fill="FFFFFF"/>
          <w:lang w:val="en-US" w:eastAsia="zh-CN"/>
        </w:rPr>
        <w:t>2.依法办理市场主体登记但未办理对外贸易经营者</w:t>
      </w:r>
      <w:r>
        <w:rPr>
          <w:rFonts w:hint="eastAsia" w:ascii="仿宋_GB2312" w:eastAsia="仿宋_GB2312" w:cs="Times New Roman"/>
          <w:b w:val="0"/>
          <w:bCs w:val="0"/>
          <w:color w:val="auto"/>
          <w:sz w:val="32"/>
          <w:szCs w:val="32"/>
          <w:highlight w:val="none"/>
          <w:shd w:val="clear" w:color="auto" w:fill="FFFFFF"/>
          <w:lang w:val="en-US" w:eastAsia="zh-CN"/>
        </w:rPr>
        <w:t>备</w:t>
      </w:r>
      <w:r>
        <w:rPr>
          <w:rFonts w:hint="default" w:ascii="仿宋_GB2312" w:eastAsia="仿宋_GB2312" w:cs="Times New Roman"/>
          <w:b w:val="0"/>
          <w:bCs w:val="0"/>
          <w:color w:val="auto"/>
          <w:sz w:val="32"/>
          <w:szCs w:val="32"/>
          <w:highlight w:val="none"/>
          <w:shd w:val="clear" w:color="auto" w:fill="FFFFFF"/>
          <w:lang w:val="en-US" w:eastAsia="zh-CN"/>
        </w:rPr>
        <w:t>案登记，委托出口货物的生产企业。</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对下列出口货物劳务，除特殊规定的外，实行免征和退还增值税政策。</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1.出口企业出口货物；</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2.出口企业或其他单位视同出口货物；</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3.出口企业对外提供加工修理修配劳务。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出口企业出口或视同出口适用增值税退（免）税的货物，免征消费税，如果属于购进出口的货物，退还前一环节对其已征的消费税。</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出口企业是指</w:t>
      </w:r>
      <w:r>
        <w:rPr>
          <w:rFonts w:hint="default" w:ascii="仿宋_GB2312" w:eastAsia="仿宋_GB2312" w:cs="Times New Roman"/>
          <w:b w:val="0"/>
          <w:bCs w:val="0"/>
          <w:color w:val="auto"/>
          <w:sz w:val="32"/>
          <w:szCs w:val="32"/>
          <w:highlight w:val="none"/>
          <w:shd w:val="clear" w:color="auto" w:fill="FFFFFF"/>
          <w:lang w:val="en-US" w:eastAsia="zh-CN"/>
        </w:rPr>
        <w:t>依法办理市场主体登记、对外贸易经营者备案登记自营或委托出口货物的单位或个体工商户</w:t>
      </w:r>
      <w:r>
        <w:rPr>
          <w:rFonts w:hint="eastAsia" w:ascii="仿宋_GB2312" w:eastAsia="仿宋_GB2312" w:cs="Times New Roman"/>
          <w:b w:val="0"/>
          <w:bCs w:val="0"/>
          <w:color w:val="auto"/>
          <w:sz w:val="32"/>
          <w:szCs w:val="32"/>
          <w:highlight w:val="none"/>
          <w:shd w:val="clear" w:color="auto" w:fill="FFFFFF"/>
          <w:lang w:val="en-US" w:eastAsia="zh-CN"/>
        </w:rPr>
        <w:t>；</w:t>
      </w:r>
      <w:r>
        <w:rPr>
          <w:rFonts w:hint="default" w:ascii="仿宋_GB2312" w:eastAsia="仿宋_GB2312" w:cs="Times New Roman"/>
          <w:b w:val="0"/>
          <w:bCs w:val="0"/>
          <w:color w:val="auto"/>
          <w:sz w:val="32"/>
          <w:szCs w:val="32"/>
          <w:highlight w:val="none"/>
          <w:shd w:val="clear" w:color="auto" w:fill="FFFFFF"/>
          <w:lang w:val="en-US" w:eastAsia="zh-CN"/>
        </w:rPr>
        <w:t>依法办理市场主体登记但未办理对外贸易经营者</w:t>
      </w:r>
      <w:r>
        <w:rPr>
          <w:rFonts w:hint="eastAsia" w:ascii="仿宋_GB2312" w:eastAsia="仿宋_GB2312" w:cs="Times New Roman"/>
          <w:b w:val="0"/>
          <w:bCs w:val="0"/>
          <w:color w:val="auto"/>
          <w:sz w:val="32"/>
          <w:szCs w:val="32"/>
          <w:highlight w:val="none"/>
          <w:shd w:val="clear" w:color="auto" w:fill="FFFFFF"/>
          <w:lang w:val="en-US" w:eastAsia="zh-CN"/>
        </w:rPr>
        <w:t>备</w:t>
      </w:r>
      <w:r>
        <w:rPr>
          <w:rFonts w:hint="default" w:ascii="仿宋_GB2312" w:eastAsia="仿宋_GB2312" w:cs="Times New Roman"/>
          <w:b w:val="0"/>
          <w:bCs w:val="0"/>
          <w:color w:val="auto"/>
          <w:sz w:val="32"/>
          <w:szCs w:val="32"/>
          <w:highlight w:val="none"/>
          <w:shd w:val="clear" w:color="auto" w:fill="FFFFFF"/>
          <w:lang w:val="en-US" w:eastAsia="zh-CN"/>
        </w:rPr>
        <w:t>案登记，委托出口货物的生产企业。</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1.《财政部国家税务总局关于出口货物劳务增值税和消费税政策的通知》（财税〔2012〕39号）</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2.《国家税务总局关于进一步便利出口退税办理促进外贸平稳发展有关事项的公告》（2022年第9号）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06" w:name="_Toc17173"/>
      <w:bookmarkStart w:id="207" w:name="_Toc23736"/>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（2）出口货物劳务征税政策</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出口企业或其他单位</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1.出口企业或其他单位出口或视同出口规定范围内的货物劳务，不适用增值税退（免）税和免税政策，按有关规定及视同内销货物征税的其他规定征收增值税。</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2.出口企业出口或视同出口适用增值税征税政策的货物，应按规定缴纳消费税，不退还其以前环节已征的消费税，且不允许在内销应税消费品应纳消费税款中抵扣。</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国家税务总局关于出口货物劳务增值税和消费税政策的通知》（财税〔2012〕39号）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eastAsia="zh-CN"/>
        </w:rPr>
      </w:pPr>
      <w:bookmarkStart w:id="208" w:name="_Toc25313"/>
      <w:bookmarkStart w:id="209" w:name="_Toc2461"/>
      <w:r>
        <w:rPr>
          <w:rFonts w:hint="eastAsia" w:ascii="仿宋_GB2312" w:hAnsi="仿宋_GB2312" w:eastAsia="仿宋_GB2312" w:cs="仿宋_GB2312"/>
          <w:b/>
          <w:bCs/>
          <w:color w:val="auto"/>
          <w:sz w:val="32"/>
          <w:szCs w:val="32"/>
          <w:highlight w:val="none"/>
          <w:lang w:val="en-US" w:eastAsia="zh-CN"/>
        </w:rPr>
        <w:t>（3）出口货物劳务免税政策</w:t>
      </w:r>
      <w:bookmarkEnd w:id="206"/>
      <w:bookmarkEnd w:id="207"/>
      <w:bookmarkEnd w:id="208"/>
      <w:bookmarkEnd w:id="209"/>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楷体_GB2312" w:hAnsi="楷体_GB2312" w:eastAsia="楷体_GB2312" w:cs="楷体_GB2312"/>
          <w:bCs/>
          <w:snapToGrid/>
          <w:color w:val="auto"/>
          <w:sz w:val="32"/>
          <w:szCs w:val="32"/>
          <w:highlight w:val="none"/>
          <w:shd w:val="clear" w:color="auto" w:fill="FFFFFF"/>
          <w:lang w:val="en-US" w:eastAsia="zh-CN" w:bidi="ar-SA"/>
        </w:rPr>
      </w:pPr>
      <w:r>
        <w:rPr>
          <w:rFonts w:hint="default" w:ascii="仿宋_GB2312" w:eastAsia="仿宋_GB2312" w:cs="Times New Roman"/>
          <w:b w:val="0"/>
          <w:bCs w:val="0"/>
          <w:color w:val="auto"/>
          <w:sz w:val="32"/>
          <w:szCs w:val="32"/>
          <w:highlight w:val="none"/>
          <w:shd w:val="clear" w:color="auto" w:fill="FFFFFF"/>
          <w:lang w:val="en-US" w:eastAsia="zh-CN"/>
        </w:rPr>
        <w:t>出口企业或其他单位</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1.对符合条件的出口货物劳务免征增值税。</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2.出口企业出口或视同出口适用增值税免税政策的货物，如果属于消费税应税消费品，免征消费税，但不退还其以前环节已征的消费税，且不允许在内销应税消费品应纳消费税款中抵扣。</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1.《财政部国家税务总局关于出口货物劳务增值税和消费税政策的通知》（财税〔2012〕39号）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10" w:name="_Toc24250"/>
      <w:bookmarkStart w:id="211" w:name="_Toc2460"/>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eastAsia="zh-CN"/>
        </w:rPr>
      </w:pPr>
      <w:bookmarkStart w:id="212" w:name="_Toc21644"/>
      <w:bookmarkStart w:id="213" w:name="_Toc17566"/>
      <w:r>
        <w:rPr>
          <w:rFonts w:hint="eastAsia" w:ascii="仿宋_GB2312" w:hAnsi="仿宋_GB2312" w:eastAsia="仿宋_GB2312" w:cs="仿宋_GB2312"/>
          <w:b/>
          <w:bCs/>
          <w:color w:val="auto"/>
          <w:sz w:val="32"/>
          <w:szCs w:val="32"/>
          <w:highlight w:val="none"/>
          <w:lang w:val="en-US" w:eastAsia="zh-CN"/>
        </w:rPr>
        <w:t>（4）跨境应税行为适用增值税零税率政策</w:t>
      </w:r>
      <w:bookmarkEnd w:id="210"/>
      <w:bookmarkEnd w:id="211"/>
      <w:bookmarkEnd w:id="212"/>
      <w:bookmarkEnd w:id="213"/>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楷体_GB2312" w:hAnsi="楷体_GB2312" w:eastAsia="楷体_GB2312" w:cs="楷体_GB2312"/>
          <w:bCs/>
          <w:snapToGrid/>
          <w:color w:val="auto"/>
          <w:sz w:val="32"/>
          <w:szCs w:val="32"/>
          <w:highlight w:val="none"/>
          <w:shd w:val="clear" w:color="auto" w:fill="FFFFFF"/>
          <w:lang w:val="en-US" w:eastAsia="zh-CN" w:bidi="ar-SA"/>
        </w:rPr>
      </w:pPr>
      <w:r>
        <w:rPr>
          <w:rFonts w:hint="default" w:ascii="仿宋_GB2312" w:eastAsia="仿宋_GB2312" w:cs="Times New Roman"/>
          <w:b w:val="0"/>
          <w:bCs w:val="0"/>
          <w:color w:val="auto"/>
          <w:sz w:val="32"/>
          <w:szCs w:val="32"/>
          <w:highlight w:val="none"/>
          <w:shd w:val="clear" w:color="auto" w:fill="FFFFFF"/>
          <w:lang w:val="en-US" w:eastAsia="zh-CN"/>
        </w:rPr>
        <w:t>符合条件的境内单位和个人</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中华人民共和国境内的单位和个人销售的下列服务和无形资产，适用增值税零税率：</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1.国际运输服务。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国际运输服务，是指：</w:t>
      </w:r>
    </w:p>
    <w:p>
      <w:pPr>
        <w:pStyle w:val="16"/>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567" w:firstLineChars="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在境内载运旅客或者货物出境。</w:t>
      </w:r>
    </w:p>
    <w:p>
      <w:pPr>
        <w:pStyle w:val="16"/>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567" w:firstLineChars="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在境外载运旅客或者货物入境。</w:t>
      </w:r>
    </w:p>
    <w:p>
      <w:pPr>
        <w:pStyle w:val="16"/>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567" w:firstLineChars="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在境外载运旅客或者货物。</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2.航天运输服务。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3.向境外单位提供的完全在境外消费的下列服务：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（1）研发服务。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（2）合同能源管理服务。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（3）设计服务。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（4）广播影视节目</w:t>
      </w:r>
      <w:r>
        <w:rPr>
          <w:rFonts w:hint="eastAsia" w:ascii="仿宋_GB2312" w:eastAsia="仿宋_GB2312" w:cs="Times New Roman"/>
          <w:b w:val="0"/>
          <w:bCs w:val="0"/>
          <w:color w:val="auto"/>
          <w:sz w:val="32"/>
          <w:szCs w:val="32"/>
          <w:highlight w:val="none"/>
          <w:shd w:val="clear" w:color="auto" w:fill="FFFFFF"/>
          <w:lang w:val="en-US" w:eastAsia="zh-CN"/>
        </w:rPr>
        <w:t>（</w:t>
      </w:r>
      <w:r>
        <w:rPr>
          <w:rFonts w:hint="default" w:ascii="仿宋_GB2312" w:eastAsia="仿宋_GB2312" w:cs="Times New Roman"/>
          <w:b w:val="0"/>
          <w:bCs w:val="0"/>
          <w:color w:val="auto"/>
          <w:sz w:val="32"/>
          <w:szCs w:val="32"/>
          <w:highlight w:val="none"/>
          <w:shd w:val="clear" w:color="auto" w:fill="FFFFFF"/>
          <w:lang w:val="en-US" w:eastAsia="zh-CN"/>
        </w:rPr>
        <w:t>作品</w:t>
      </w:r>
      <w:r>
        <w:rPr>
          <w:rFonts w:hint="eastAsia" w:ascii="仿宋_GB2312" w:eastAsia="仿宋_GB2312" w:cs="Times New Roman"/>
          <w:b w:val="0"/>
          <w:bCs w:val="0"/>
          <w:color w:val="auto"/>
          <w:sz w:val="32"/>
          <w:szCs w:val="32"/>
          <w:highlight w:val="none"/>
          <w:shd w:val="clear" w:color="auto" w:fill="FFFFFF"/>
          <w:lang w:val="en-US" w:eastAsia="zh-CN"/>
        </w:rPr>
        <w:t>）</w:t>
      </w:r>
      <w:r>
        <w:rPr>
          <w:rFonts w:hint="default" w:ascii="仿宋_GB2312" w:eastAsia="仿宋_GB2312" w:cs="Times New Roman"/>
          <w:b w:val="0"/>
          <w:bCs w:val="0"/>
          <w:color w:val="auto"/>
          <w:sz w:val="32"/>
          <w:szCs w:val="32"/>
          <w:highlight w:val="none"/>
          <w:shd w:val="clear" w:color="auto" w:fill="FFFFFF"/>
          <w:lang w:val="en-US" w:eastAsia="zh-CN"/>
        </w:rPr>
        <w:t>的制作和发行服务。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（5）软件服务。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（6）电路设计及测试服务。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（7）信息系统服务。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（8）业务流程管理服务。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（9）离岸服务外包业务。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rPr>
      </w:pPr>
      <w:r>
        <w:rPr>
          <w:rFonts w:hint="default" w:ascii="仿宋_GB2312" w:eastAsia="仿宋_GB2312" w:cs="Times New Roman"/>
          <w:b w:val="0"/>
          <w:bCs w:val="0"/>
          <w:color w:val="auto"/>
          <w:sz w:val="32"/>
          <w:szCs w:val="32"/>
          <w:highlight w:val="none"/>
          <w:shd w:val="clear" w:color="auto" w:fill="FFFFFF"/>
          <w:lang w:val="en-US" w:eastAsia="zh-CN"/>
        </w:rPr>
        <w:t>（10）转让技术。</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4.财政部和国家税务总局规定的其他服务。</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1.《财政部国家税务总局关于全面推开营业税改征增值税试点的通知》（财税〔2016〕36号）附件4《跨境应税行为适用增值税零税率和免税政策的规定》</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14" w:name="_Toc229"/>
      <w:bookmarkStart w:id="215" w:name="_Toc30665"/>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eastAsia="zh-CN"/>
        </w:rPr>
      </w:pPr>
      <w:bookmarkStart w:id="216" w:name="_Toc24322"/>
      <w:r>
        <w:rPr>
          <w:rFonts w:hint="eastAsia" w:ascii="仿宋_GB2312" w:hAnsi="仿宋_GB2312" w:eastAsia="仿宋_GB2312" w:cs="仿宋_GB2312"/>
          <w:b/>
          <w:bCs/>
          <w:color w:val="auto"/>
          <w:sz w:val="32"/>
          <w:szCs w:val="32"/>
          <w:highlight w:val="none"/>
          <w:lang w:val="en-US" w:eastAsia="zh-CN"/>
        </w:rPr>
        <w:t>（5）跨境应税行为适用增值税免税政策</w:t>
      </w:r>
      <w:bookmarkEnd w:id="216"/>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仿宋_GB2312" w:eastAsia="仿宋_GB2312" w:cs="Times New Roman"/>
          <w:b w:val="0"/>
          <w:bCs w:val="0"/>
          <w:color w:val="auto"/>
          <w:sz w:val="32"/>
          <w:szCs w:val="32"/>
          <w:highlight w:val="none"/>
          <w:shd w:val="clear" w:color="auto" w:fill="FFFFFF"/>
          <w:lang w:val="en-US" w:eastAsia="zh-CN"/>
        </w:rPr>
      </w:pPr>
      <w:r>
        <w:rPr>
          <w:rFonts w:hint="eastAsia" w:ascii="仿宋_GB2312" w:eastAsia="仿宋_GB2312" w:cs="Times New Roman"/>
          <w:b w:val="0"/>
          <w:bCs w:val="0"/>
          <w:color w:val="auto"/>
          <w:sz w:val="32"/>
          <w:szCs w:val="32"/>
          <w:highlight w:val="none"/>
          <w:shd w:val="clear" w:color="auto" w:fill="FFFFFF"/>
          <w:lang w:val="en-US" w:eastAsia="zh-CN"/>
        </w:rPr>
        <w:t>符合条件的境内单位和个人</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境内的单位和个人销售的下列服务和无形资产免征增值税，但财政部和国家税务总局规定适用增值税零税率的除外：</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（一）下列服务：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1.工程项目在境外的建筑服务。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2.工程项目在境外的工程监理服务。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3.工程、矿产资源在境外的工程勘察勘探服务。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4.会议展览地点在境外的会议展览服务。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5.存储地点在境外的仓储服务。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6.标的物在境外使用的有形动产租赁服务。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7.在境外提供的广播影视节目(作品)的播映服务。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8.在境外提供的文化体育服务、教育医疗服务、旅游服务。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（二）为出口货物提供的邮政服务、收派服务、保险服务。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（三）向境外单位提供的完全在境外消费的下列服务和无形资产：</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1.电信服务。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2.知识产权服务。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3.物流辅助服务（仓储服务、收派服务除外）。</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4.鉴证咨询服务。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5.专业技术服务。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6.商务辅助服务。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7.广告投放地在境外的广告服务。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8.无形资产。</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（四）以无运输工具承运方式提供的国际运输服务。</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（五）为境外单位之间的货币资金融通及其他金融业务提供的直接收费金融服务，且该服务与境内的货物、无形资产和不动产无关。</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rPr>
          <w:rFonts w:hint="default" w:ascii="仿宋_GB2312" w:eastAsia="仿宋_GB2312" w:cs="Times New Roman"/>
          <w:b w:val="0"/>
          <w:bCs w:val="0"/>
          <w:color w:val="auto"/>
          <w:sz w:val="32"/>
          <w:szCs w:val="32"/>
          <w:highlight w:val="none"/>
          <w:shd w:val="clear" w:color="auto" w:fill="FFFFFF"/>
          <w:lang w:val="en-US" w:eastAsia="zh-CN"/>
        </w:rPr>
      </w:pPr>
      <w:r>
        <w:rPr>
          <w:rFonts w:hint="default" w:ascii="仿宋_GB2312" w:eastAsia="仿宋_GB2312" w:cs="Times New Roman"/>
          <w:b w:val="0"/>
          <w:bCs w:val="0"/>
          <w:color w:val="auto"/>
          <w:sz w:val="32"/>
          <w:szCs w:val="32"/>
          <w:highlight w:val="none"/>
          <w:shd w:val="clear" w:color="auto" w:fill="FFFFFF"/>
          <w:lang w:val="en-US" w:eastAsia="zh-CN"/>
        </w:rPr>
        <w:t>（六）财政部和国家税务总局规定的其他服务。</w:t>
      </w:r>
    </w:p>
    <w:p>
      <w:pPr>
        <w:pStyle w:val="16"/>
        <w:keepNext w:val="0"/>
        <w:keepLines w:val="0"/>
        <w:pageBreakBefore w:val="0"/>
        <w:shd w:val="clear" w:color="auto" w:fill="FFFFFF"/>
        <w:wordWrap/>
        <w:overflowPunct/>
        <w:topLinePunct w:val="0"/>
        <w:bidi w:val="0"/>
        <w:snapToGrid/>
        <w:spacing w:line="360" w:lineRule="auto"/>
        <w:jc w:val="both"/>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 国家税务总局关于全面推开营业税改征增值税试点的通知》（财税〔2016〕36号）附件4《跨境应税行为适用增值税零税率和免税政策的规定》</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p>
    <w:p>
      <w:pPr>
        <w:keepNext w:val="0"/>
        <w:keepLines w:val="0"/>
        <w:pageBreakBefore w:val="0"/>
        <w:widowControl/>
        <w:kinsoku/>
        <w:wordWrap/>
        <w:overflowPunct/>
        <w:topLinePunct w:val="0"/>
        <w:autoSpaceDE/>
        <w:autoSpaceDN/>
        <w:bidi w:val="0"/>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217" w:name="_Toc2474"/>
      <w:bookmarkStart w:id="218" w:name="_Toc30380"/>
      <w:r>
        <w:rPr>
          <w:rFonts w:hint="eastAsia" w:ascii="仿宋_GB2312" w:hAnsi="仿宋_GB2312" w:eastAsia="仿宋_GB2312" w:cs="仿宋_GB2312"/>
          <w:b/>
          <w:bCs/>
          <w:color w:val="auto"/>
          <w:sz w:val="32"/>
          <w:szCs w:val="32"/>
          <w:highlight w:val="none"/>
          <w:lang w:val="en-US" w:eastAsia="zh-CN"/>
        </w:rPr>
        <w:t>3.科技创新税收政策</w:t>
      </w:r>
      <w:bookmarkEnd w:id="214"/>
      <w:bookmarkEnd w:id="215"/>
      <w:bookmarkEnd w:id="217"/>
      <w:bookmarkEnd w:id="218"/>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19" w:name="_Toc19002"/>
      <w:bookmarkStart w:id="220" w:name="_Toc20235"/>
      <w:bookmarkStart w:id="221" w:name="_Toc8020"/>
      <w:bookmarkStart w:id="222" w:name="_Toc4950"/>
      <w:r>
        <w:rPr>
          <w:rFonts w:hint="eastAsia" w:ascii="仿宋_GB2312" w:hAnsi="仿宋_GB2312" w:eastAsia="仿宋_GB2312" w:cs="仿宋_GB2312"/>
          <w:b/>
          <w:bCs/>
          <w:color w:val="auto"/>
          <w:sz w:val="32"/>
          <w:szCs w:val="32"/>
          <w:highlight w:val="none"/>
          <w:lang w:val="en-US" w:eastAsia="zh-CN"/>
        </w:rPr>
        <w:t>（1）研发费用加计扣除政策</w:t>
      </w:r>
      <w:bookmarkEnd w:id="219"/>
      <w:bookmarkEnd w:id="220"/>
      <w:bookmarkEnd w:id="221"/>
      <w:bookmarkEnd w:id="222"/>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【适用主体】</w:t>
      </w:r>
    </w:p>
    <w:p>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left"/>
        <w:textAlignment w:val="auto"/>
        <w:outlineLvl w:val="9"/>
        <w:rPr>
          <w:rFonts w:hint="eastAsia" w:ascii="仿宋_GB2312" w:hAnsi="宋体" w:eastAsia="仿宋_GB2312" w:cs="Times New Roman"/>
          <w:snapToGrid/>
          <w:color w:val="auto"/>
          <w:kern w:val="0"/>
          <w:sz w:val="32"/>
          <w:szCs w:val="32"/>
          <w:highlight w:val="none"/>
          <w:shd w:val="clear" w:color="auto" w:fill="FFFFFF"/>
          <w:lang w:val="en-US" w:eastAsia="zh-CN" w:bidi="ar-SA"/>
        </w:rPr>
      </w:pPr>
      <w:r>
        <w:rPr>
          <w:rFonts w:hint="eastAsia" w:ascii="仿宋_GB2312" w:hAnsi="宋体" w:eastAsia="仿宋_GB2312" w:cs="Times New Roman"/>
          <w:snapToGrid/>
          <w:color w:val="auto"/>
          <w:kern w:val="0"/>
          <w:sz w:val="32"/>
          <w:szCs w:val="32"/>
          <w:highlight w:val="none"/>
          <w:shd w:val="clear" w:color="auto" w:fill="FFFFFF"/>
          <w:lang w:val="en-US" w:eastAsia="zh-CN" w:bidi="ar-SA"/>
        </w:rPr>
        <w:t>会计核算健全、实行查账征收并能够准确归集研发费用的居民企业。以下行业不适用税前加计扣除政策：烟草制造业、住宿和餐饮业、批发和零售业、 房地产业、租赁和商务服务业、娱乐业六大行业以及财政部和国家税务总局规定的其他行业。上述行业以《国民经济行业分类与代码（GB/4754-2011）》为准。</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pPr>
      <w:r>
        <w:rPr>
          <w:rFonts w:hint="eastAsia" w:asciiTheme="minorEastAsia" w:hAnsiTheme="minorEastAsia" w:eastAsiaTheme="minorEastAsia" w:cstheme="minorEastAsia"/>
          <w:bCs/>
          <w:snapToGrid/>
          <w:color w:val="auto"/>
          <w:sz w:val="32"/>
          <w:szCs w:val="32"/>
          <w:highlight w:val="none"/>
          <w:shd w:val="clear" w:color="auto" w:fill="FFFFFF"/>
          <w:lang w:val="en-US" w:eastAsia="zh-CN" w:bidi="ar-SA"/>
        </w:rPr>
        <w:t>【政策规定】</w:t>
      </w:r>
    </w:p>
    <w:p>
      <w:pPr>
        <w:pStyle w:val="24"/>
        <w:keepNext w:val="0"/>
        <w:keepLines w:val="0"/>
        <w:pageBreakBefore w:val="0"/>
        <w:widowControl/>
        <w:kinsoku w:val="0"/>
        <w:wordWrap/>
        <w:overflowPunct/>
        <w:topLinePunct w:val="0"/>
        <w:autoSpaceDE w:val="0"/>
        <w:autoSpaceDN w:val="0"/>
        <w:bidi w:val="0"/>
        <w:adjustRightInd w:val="0"/>
        <w:snapToGrid/>
        <w:spacing w:line="360" w:lineRule="auto"/>
        <w:ind w:right="85" w:firstLine="640" w:firstLineChars="200"/>
        <w:jc w:val="both"/>
        <w:textAlignment w:val="baseline"/>
        <w:outlineLvl w:val="9"/>
        <w:rPr>
          <w:rFonts w:hint="eastAsia" w:ascii="仿宋_GB2312" w:hAnsi="宋体" w:eastAsia="仿宋_GB2312" w:cs="Times New Roman"/>
          <w:snapToGrid/>
          <w:color w:val="auto"/>
          <w:kern w:val="0"/>
          <w:sz w:val="32"/>
          <w:szCs w:val="32"/>
          <w:highlight w:val="none"/>
          <w:shd w:val="clear" w:color="auto" w:fill="FFFFFF"/>
          <w:lang w:val="en-US" w:eastAsia="zh-CN" w:bidi="ar-SA"/>
        </w:rPr>
      </w:pPr>
      <w:r>
        <w:rPr>
          <w:rFonts w:hint="eastAsia" w:ascii="仿宋_GB2312" w:hAnsi="宋体" w:eastAsia="仿宋_GB2312" w:cs="Times New Roman"/>
          <w:snapToGrid/>
          <w:color w:val="auto"/>
          <w:kern w:val="0"/>
          <w:sz w:val="32"/>
          <w:szCs w:val="32"/>
          <w:highlight w:val="none"/>
          <w:shd w:val="clear" w:color="auto" w:fill="FFFFFF"/>
          <w:lang w:val="en-US" w:eastAsia="zh-CN" w:bidi="ar-SA"/>
        </w:rPr>
        <w:t>企业开展研发活动中实际发生的研发费用,未形成无形资产计入当期损益的,在按规定据实扣除的基础上,自2023年1月1日起,再按照实际发生额的100%在税前加计扣除;形成无形资产的,自2023年1月1日起,按照无形资产成本的200%在税前摊销。</w:t>
      </w:r>
    </w:p>
    <w:p>
      <w:pPr>
        <w:pStyle w:val="24"/>
        <w:keepNext w:val="0"/>
        <w:keepLines w:val="0"/>
        <w:pageBreakBefore w:val="0"/>
        <w:widowControl/>
        <w:kinsoku w:val="0"/>
        <w:wordWrap/>
        <w:overflowPunct/>
        <w:topLinePunct w:val="0"/>
        <w:autoSpaceDE w:val="0"/>
        <w:autoSpaceDN w:val="0"/>
        <w:bidi w:val="0"/>
        <w:adjustRightInd w:val="0"/>
        <w:snapToGrid/>
        <w:spacing w:line="360" w:lineRule="auto"/>
        <w:ind w:right="85" w:firstLine="640" w:firstLineChars="200"/>
        <w:jc w:val="both"/>
        <w:textAlignment w:val="baseline"/>
        <w:outlineLvl w:val="9"/>
        <w:rPr>
          <w:rFonts w:hint="eastAsia" w:ascii="仿宋_GB2312" w:hAnsi="宋体" w:eastAsia="仿宋_GB2312" w:cs="Times New Roman"/>
          <w:snapToGrid/>
          <w:color w:val="auto"/>
          <w:kern w:val="0"/>
          <w:sz w:val="32"/>
          <w:szCs w:val="32"/>
          <w:highlight w:val="none"/>
          <w:shd w:val="clear" w:color="auto" w:fill="FFFFFF"/>
          <w:lang w:val="en-US" w:eastAsia="zh-CN" w:bidi="ar-SA"/>
        </w:rPr>
      </w:pPr>
      <w:r>
        <w:rPr>
          <w:rFonts w:hint="eastAsia" w:ascii="仿宋_GB2312" w:hAnsi="宋体" w:eastAsia="仿宋_GB2312" w:cs="Times New Roman"/>
          <w:snapToGrid/>
          <w:color w:val="auto"/>
          <w:kern w:val="0"/>
          <w:sz w:val="32"/>
          <w:szCs w:val="32"/>
          <w:highlight w:val="none"/>
          <w:shd w:val="clear" w:color="auto" w:fill="FFFFFF"/>
          <w:lang w:val="en-US" w:eastAsia="zh-CN" w:bidi="ar-SA"/>
        </w:rPr>
        <w:t>集成电路企业和工业母机企业开展研发活动中实际发生的研发费用，未形成无形资产计入当期损益的，在按规定据实扣除的基础上，在2023年1月1日至2027年12月31日期间，再按照实际发生额的120%在税前扣除;形成无形资产的，在上述期间按照无形资产成本的220%在税前摊销。</w:t>
      </w:r>
    </w:p>
    <w:p>
      <w:pPr>
        <w:keepNext w:val="0"/>
        <w:keepLines w:val="0"/>
        <w:pageBreakBefore w:val="0"/>
        <w:widowControl/>
        <w:suppressLineNumbers w:val="0"/>
        <w:wordWrap/>
        <w:overflowPunct/>
        <w:topLinePunct w:val="0"/>
        <w:bidi w:val="0"/>
        <w:snapToGrid/>
        <w:spacing w:line="360" w:lineRule="auto"/>
        <w:ind w:firstLine="640" w:firstLineChars="200"/>
        <w:jc w:val="both"/>
        <w:outlineLvl w:val="9"/>
        <w:rPr>
          <w:rFonts w:hint="eastAsia" w:ascii="仿宋_GB2312" w:hAnsi="宋体" w:eastAsia="仿宋_GB2312" w:cs="Times New Roman"/>
          <w:snapToGrid/>
          <w:color w:val="auto"/>
          <w:kern w:val="0"/>
          <w:sz w:val="32"/>
          <w:szCs w:val="32"/>
          <w:highlight w:val="none"/>
          <w:shd w:val="clear" w:color="auto" w:fill="FFFFFF"/>
          <w:lang w:val="en-US" w:eastAsia="zh-CN" w:bidi="ar-SA"/>
        </w:rPr>
      </w:pPr>
      <w:r>
        <w:rPr>
          <w:rFonts w:hint="eastAsia" w:ascii="仿宋_GB2312" w:hAnsi="宋体" w:eastAsia="仿宋_GB2312" w:cs="Times New Roman"/>
          <w:snapToGrid/>
          <w:color w:val="auto"/>
          <w:kern w:val="0"/>
          <w:sz w:val="32"/>
          <w:szCs w:val="32"/>
          <w:highlight w:val="none"/>
          <w:shd w:val="clear" w:color="auto" w:fill="FFFFFF"/>
          <w:lang w:val="en-US" w:eastAsia="zh-CN" w:bidi="ar-SA"/>
        </w:rPr>
        <w:t>以下行业不适用税前加计扣除政策：烟草制造业、住宿和餐饮业、批发和零售业、 房地产业、租赁和商务服务业、娱乐业六大行业以及财政部和国家税务总局规定的其他行业以《国民经济行业分类与代码（GB/4754-2011）》为准。</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color w:val="auto"/>
          <w:kern w:val="0"/>
          <w:sz w:val="32"/>
          <w:szCs w:val="32"/>
          <w:highlight w:val="none"/>
          <w:shd w:val="clear" w:color="auto" w:fill="FFFFFF"/>
          <w:lang w:val="en-US" w:eastAsia="zh-CN" w:bidi="ar-SA"/>
        </w:rPr>
      </w:pPr>
      <w:r>
        <w:rPr>
          <w:rFonts w:hint="eastAsia" w:ascii="黑体" w:hAnsi="黑体" w:eastAsia="黑体" w:cs="黑体"/>
          <w:color w:val="auto"/>
          <w:kern w:val="0"/>
          <w:sz w:val="32"/>
          <w:szCs w:val="32"/>
          <w:highlight w:val="none"/>
          <w:shd w:val="clear" w:color="auto" w:fill="FFFFFF"/>
          <w:lang w:val="en-US" w:eastAsia="zh-CN" w:bidi="ar-SA"/>
        </w:rPr>
        <w:t>1.《中华人民共和国企业所得税法》</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color w:val="auto"/>
          <w:kern w:val="0"/>
          <w:sz w:val="32"/>
          <w:szCs w:val="32"/>
          <w:highlight w:val="none"/>
          <w:shd w:val="clear" w:color="auto" w:fill="FFFFFF"/>
          <w:lang w:val="en-US" w:eastAsia="zh-CN" w:bidi="ar-SA"/>
        </w:rPr>
      </w:pPr>
      <w:r>
        <w:rPr>
          <w:rFonts w:hint="eastAsia" w:ascii="黑体" w:hAnsi="黑体" w:eastAsia="黑体" w:cs="黑体"/>
          <w:color w:val="auto"/>
          <w:kern w:val="0"/>
          <w:sz w:val="32"/>
          <w:szCs w:val="32"/>
          <w:highlight w:val="none"/>
          <w:shd w:val="clear" w:color="auto" w:fill="FFFFFF"/>
          <w:lang w:val="en-US" w:eastAsia="zh-CN" w:bidi="ar-SA"/>
        </w:rPr>
        <w:t>2.《中华人民共和国企业所得税法实施条例》</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snapToGrid/>
          <w:color w:val="auto"/>
          <w:kern w:val="0"/>
          <w:sz w:val="32"/>
          <w:szCs w:val="32"/>
          <w:highlight w:val="none"/>
          <w:shd w:val="clear" w:color="auto" w:fill="FFFFFF"/>
          <w:lang w:val="en-US" w:eastAsia="zh-CN" w:bidi="ar-SA"/>
        </w:rPr>
      </w:pPr>
      <w:r>
        <w:rPr>
          <w:rFonts w:hint="eastAsia" w:ascii="黑体" w:hAnsi="黑体" w:eastAsia="黑体" w:cs="黑体"/>
          <w:snapToGrid/>
          <w:color w:val="auto"/>
          <w:kern w:val="0"/>
          <w:sz w:val="32"/>
          <w:szCs w:val="32"/>
          <w:highlight w:val="none"/>
          <w:shd w:val="clear" w:color="auto" w:fill="FFFFFF"/>
          <w:lang w:val="en-US" w:eastAsia="zh-CN" w:bidi="ar-SA"/>
        </w:rPr>
        <w:t>3.《财政部国家税务总局科技部关于完善研究开发费用税前加计扣除政策的通知》（财税〔2015〕119号）</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snapToGrid/>
          <w:color w:val="auto"/>
          <w:kern w:val="0"/>
          <w:sz w:val="32"/>
          <w:szCs w:val="32"/>
          <w:highlight w:val="none"/>
          <w:shd w:val="clear" w:color="auto" w:fill="FFFFFF"/>
          <w:lang w:val="en-US" w:eastAsia="zh-CN" w:bidi="ar-SA"/>
        </w:rPr>
      </w:pPr>
      <w:r>
        <w:rPr>
          <w:rFonts w:hint="eastAsia" w:ascii="黑体" w:hAnsi="黑体" w:eastAsia="黑体" w:cs="黑体"/>
          <w:snapToGrid/>
          <w:color w:val="auto"/>
          <w:kern w:val="0"/>
          <w:sz w:val="32"/>
          <w:szCs w:val="32"/>
          <w:highlight w:val="none"/>
          <w:shd w:val="clear" w:color="auto" w:fill="FFFFFF"/>
          <w:lang w:val="en-US" w:eastAsia="zh-CN" w:bidi="ar-SA"/>
        </w:rPr>
        <w:t>4.《国家税务总局关于发布修订后的《企业所得税优惠政策事项办理办法》的公告》（国家税务总局公告2018年第23号）</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snapToGrid/>
          <w:color w:val="auto"/>
          <w:kern w:val="0"/>
          <w:sz w:val="32"/>
          <w:szCs w:val="32"/>
          <w:highlight w:val="none"/>
          <w:shd w:val="clear" w:color="auto" w:fill="FFFFFF"/>
          <w:lang w:val="en-US" w:eastAsia="zh-CN" w:bidi="ar-SA"/>
        </w:rPr>
      </w:pPr>
      <w:r>
        <w:rPr>
          <w:rFonts w:hint="eastAsia" w:ascii="黑体" w:hAnsi="黑体" w:eastAsia="黑体" w:cs="黑体"/>
          <w:snapToGrid/>
          <w:color w:val="auto"/>
          <w:kern w:val="0"/>
          <w:sz w:val="32"/>
          <w:szCs w:val="32"/>
          <w:highlight w:val="none"/>
          <w:shd w:val="clear" w:color="auto" w:fill="FFFFFF"/>
          <w:lang w:val="en-US" w:eastAsia="zh-CN" w:bidi="ar-SA"/>
        </w:rPr>
        <w:t>5.《国家税务总局关于进一步落实研发费用加计扣除政策有关问题的公告》（国家税务总局2021年第28号）</w:t>
      </w:r>
    </w:p>
    <w:p>
      <w:pPr>
        <w:keepNext w:val="0"/>
        <w:keepLines w:val="0"/>
        <w:pageBreakBefore w:val="0"/>
        <w:widowControl/>
        <w:kinsoku w:val="0"/>
        <w:wordWrap/>
        <w:overflowPunct/>
        <w:topLinePunct w:val="0"/>
        <w:autoSpaceDE w:val="0"/>
        <w:autoSpaceDN w:val="0"/>
        <w:bidi w:val="0"/>
        <w:adjustRightInd w:val="0"/>
        <w:snapToGrid/>
        <w:spacing w:line="360" w:lineRule="auto"/>
        <w:ind w:right="59" w:firstLine="640" w:firstLineChars="200"/>
        <w:jc w:val="both"/>
        <w:textAlignment w:val="baseline"/>
        <w:outlineLvl w:val="9"/>
        <w:rPr>
          <w:rFonts w:hint="eastAsia" w:ascii="黑体" w:hAnsi="黑体" w:eastAsia="黑体" w:cs="黑体"/>
          <w:color w:val="auto"/>
          <w:kern w:val="0"/>
          <w:sz w:val="32"/>
          <w:szCs w:val="32"/>
          <w:highlight w:val="none"/>
          <w:shd w:val="clear" w:color="auto" w:fill="FFFFFF"/>
          <w:lang w:val="en-US" w:eastAsia="zh-CN" w:bidi="ar-SA"/>
        </w:rPr>
      </w:pPr>
      <w:r>
        <w:rPr>
          <w:rFonts w:hint="eastAsia" w:ascii="黑体" w:hAnsi="黑体" w:eastAsia="黑体" w:cs="黑体"/>
          <w:color w:val="auto"/>
          <w:kern w:val="0"/>
          <w:sz w:val="32"/>
          <w:szCs w:val="32"/>
          <w:highlight w:val="none"/>
          <w:shd w:val="clear" w:color="auto" w:fill="FFFFFF"/>
          <w:lang w:val="en-US" w:eastAsia="zh-CN" w:bidi="ar-SA"/>
        </w:rPr>
        <w:t>6.</w:t>
      </w:r>
      <w:r>
        <w:rPr>
          <w:rFonts w:hint="eastAsia" w:ascii="黑体" w:hAnsi="黑体" w:eastAsia="黑体" w:cs="黑体"/>
          <w:snapToGrid/>
          <w:color w:val="auto"/>
          <w:kern w:val="0"/>
          <w:sz w:val="32"/>
          <w:szCs w:val="32"/>
          <w:highlight w:val="none"/>
          <w:shd w:val="clear" w:color="auto" w:fill="FFFFFF"/>
          <w:lang w:val="en-US" w:eastAsia="zh-CN" w:bidi="ar-SA"/>
        </w:rPr>
        <w:t>《</w:t>
      </w:r>
      <w:r>
        <w:rPr>
          <w:rFonts w:hint="eastAsia" w:ascii="黑体" w:hAnsi="黑体" w:eastAsia="黑体" w:cs="黑体"/>
          <w:color w:val="auto"/>
          <w:kern w:val="0"/>
          <w:sz w:val="32"/>
          <w:szCs w:val="32"/>
          <w:highlight w:val="none"/>
          <w:shd w:val="clear" w:color="auto" w:fill="FFFFFF"/>
          <w:lang w:val="en-US" w:eastAsia="zh-CN" w:bidi="ar-SA"/>
        </w:rPr>
        <w:t>财政部税务总局关于进一步完善研发费用税前加计扣除政策的公告</w:t>
      </w:r>
      <w:r>
        <w:rPr>
          <w:rFonts w:hint="eastAsia" w:ascii="黑体" w:hAnsi="黑体" w:eastAsia="黑体" w:cs="黑体"/>
          <w:snapToGrid/>
          <w:color w:val="auto"/>
          <w:kern w:val="0"/>
          <w:sz w:val="32"/>
          <w:szCs w:val="32"/>
          <w:highlight w:val="none"/>
          <w:shd w:val="clear" w:color="auto" w:fill="FFFFFF"/>
          <w:lang w:val="en-US" w:eastAsia="zh-CN" w:bidi="ar-SA"/>
        </w:rPr>
        <w:t>》</w:t>
      </w:r>
      <w:r>
        <w:rPr>
          <w:rFonts w:hint="eastAsia" w:ascii="黑体" w:hAnsi="黑体" w:eastAsia="黑体" w:cs="黑体"/>
          <w:color w:val="auto"/>
          <w:kern w:val="0"/>
          <w:sz w:val="32"/>
          <w:szCs w:val="32"/>
          <w:highlight w:val="none"/>
          <w:shd w:val="clear" w:color="auto" w:fill="FFFFFF"/>
          <w:lang w:val="en-US" w:eastAsia="zh-CN" w:bidi="ar-SA"/>
        </w:rPr>
        <w:t>（财政部税务总局公告2023年第7号）</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snapToGrid/>
          <w:color w:val="auto"/>
          <w:kern w:val="0"/>
          <w:sz w:val="32"/>
          <w:szCs w:val="32"/>
          <w:highlight w:val="none"/>
          <w:shd w:val="clear" w:color="auto" w:fill="FFFFFF"/>
          <w:lang w:val="en-US" w:eastAsia="zh-CN" w:bidi="ar-SA"/>
        </w:rPr>
      </w:pPr>
      <w:r>
        <w:rPr>
          <w:rFonts w:hint="eastAsia" w:ascii="黑体" w:hAnsi="黑体" w:eastAsia="黑体" w:cs="黑体"/>
          <w:snapToGrid/>
          <w:color w:val="auto"/>
          <w:kern w:val="0"/>
          <w:sz w:val="32"/>
          <w:szCs w:val="32"/>
          <w:highlight w:val="none"/>
          <w:shd w:val="clear" w:color="auto" w:fill="FFFFFF"/>
          <w:lang w:val="en-US" w:eastAsia="zh-CN" w:bidi="ar-SA"/>
        </w:rPr>
        <w:t>7.《国家税务总局 财政部关于优化预缴申报享受研发费用加计扣除政策有关事项的公告》（国家税务总局财政部公告2023年第11号）</w:t>
      </w:r>
    </w:p>
    <w:p>
      <w:pPr>
        <w:keepNext w:val="0"/>
        <w:keepLines w:val="0"/>
        <w:pageBreakBefore w:val="0"/>
        <w:widowControl/>
        <w:kinsoku w:val="0"/>
        <w:wordWrap/>
        <w:overflowPunct/>
        <w:topLinePunct w:val="0"/>
        <w:autoSpaceDE w:val="0"/>
        <w:autoSpaceDN w:val="0"/>
        <w:bidi w:val="0"/>
        <w:adjustRightInd w:val="0"/>
        <w:snapToGrid/>
        <w:spacing w:line="360" w:lineRule="auto"/>
        <w:ind w:firstLine="640" w:firstLineChars="200"/>
        <w:jc w:val="both"/>
        <w:textAlignment w:val="baseline"/>
        <w:outlineLvl w:val="9"/>
        <w:rPr>
          <w:rFonts w:hint="eastAsia" w:ascii="黑体" w:hAnsi="黑体" w:eastAsia="黑体" w:cs="黑体"/>
          <w:snapToGrid/>
          <w:color w:val="auto"/>
          <w:kern w:val="0"/>
          <w:sz w:val="32"/>
          <w:szCs w:val="32"/>
          <w:highlight w:val="none"/>
          <w:shd w:val="clear" w:color="auto" w:fill="FFFFFF"/>
          <w:lang w:val="en-US" w:eastAsia="zh-CN" w:bidi="ar-SA"/>
        </w:rPr>
      </w:pPr>
      <w:r>
        <w:rPr>
          <w:rFonts w:hint="eastAsia" w:ascii="黑体" w:hAnsi="黑体" w:eastAsia="黑体" w:cs="黑体"/>
          <w:snapToGrid/>
          <w:color w:val="auto"/>
          <w:kern w:val="0"/>
          <w:sz w:val="32"/>
          <w:szCs w:val="32"/>
          <w:highlight w:val="none"/>
          <w:shd w:val="clear" w:color="auto" w:fill="FFFFFF"/>
          <w:lang w:val="en-US" w:eastAsia="zh-CN" w:bidi="ar-SA"/>
        </w:rPr>
        <w:t>8.《财政部 税务总局 国家发展改革委 工业和信息化部关于提高集成电路和工业母机企业研发费用加计扣除比例的公告》（财政部 税务总局 国家发展改革委 工业和信息化部公告2023年第44号）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23" w:name="_Toc27776"/>
      <w:bookmarkStart w:id="224" w:name="_Toc23698"/>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25" w:name="_Toc222"/>
      <w:bookmarkStart w:id="226" w:name="_Toc7495"/>
      <w:r>
        <w:rPr>
          <w:rFonts w:hint="eastAsia" w:ascii="仿宋_GB2312" w:hAnsi="仿宋_GB2312" w:eastAsia="仿宋_GB2312" w:cs="仿宋_GB2312"/>
          <w:b/>
          <w:bCs/>
          <w:color w:val="auto"/>
          <w:sz w:val="32"/>
          <w:szCs w:val="32"/>
          <w:highlight w:val="none"/>
          <w:lang w:val="en-US" w:eastAsia="zh-CN"/>
        </w:rPr>
        <w:t>（2）高新技术企业减按15%税率征收企业所得税政策</w:t>
      </w:r>
      <w:bookmarkEnd w:id="223"/>
      <w:bookmarkEnd w:id="224"/>
      <w:bookmarkEnd w:id="225"/>
      <w:bookmarkEnd w:id="226"/>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24"/>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宋体" w:eastAsia="仿宋_GB2312" w:cs="Times New Roman"/>
          <w:color w:val="auto"/>
          <w:kern w:val="0"/>
          <w:sz w:val="32"/>
          <w:szCs w:val="32"/>
          <w:highlight w:val="none"/>
          <w:shd w:val="clear" w:color="auto" w:fill="FFFFFF"/>
          <w:lang w:val="en-US" w:eastAsia="zh-CN" w:bidi="ar-SA"/>
        </w:rPr>
        <w:t>国家需要重点扶持的高新技术企业</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0" w:firstLineChars="0"/>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国家需要重点扶持的高新技术企业，减按15%的税率征收企业所得税。认定为高新技术企业须同时满足以下条件：</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1.企业申请认定时须注册成立一年以上;</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2.企业通过自主研发、受让、受赠、并购等方式，获得对其主要产品(服务)在技术上发挥核心支持作用的知识产权的所有权;</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3.对企业主要产品(服务)发挥核心支持作用的技术属于《国家重点支持的高新技术领域》规定的范围;</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4.企业从事研发和相关技术创新活动的科技人员占企业当年职工总数的比例不低于10%;</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5.企业近三个会计年度(实际经营期不满三年的按实际经营时间计算，下同)的研究开发费用总额占同期销售收入总额的比例符合如下要求：</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0" w:leftChars="0" w:right="0" w:firstLine="567" w:firstLineChars="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最近一年销售收入小于5,000万元(含)的企业，比例不低于5%;</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0" w:leftChars="0" w:right="0" w:firstLine="567" w:firstLineChars="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最近一年销售收入在5,000万元至2亿元(含)的企业，比例不低于4%;</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0" w:leftChars="0" w:right="0" w:firstLine="567" w:firstLineChars="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最近一年销售收入在2亿元以上的企业，比例不低于3%。</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其中，企业在中国境内发生的研究开发费用总额占全部研究开发费用总额的比例不低于60%;</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6.近一年高新技术产品(服务)收入占企业同期总收入的比例不低于60%;</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7.企业创新能力评价应达到相应要求;</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8.企业申请认定前一年内未发生重大安全、重大质量事故或严重环境违法行为。</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1.《中华人民共和国企业所得税法》</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2.《中华人民共和国企业所得税法实施条例》</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3.《财政部国家税务总局关于高新技术企业境外所得适用税率及税收抵免问题的通知》（财税〔2011〕47号）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4.《科技部财政部税务总局关于修订印发《高新技术企业认定管理办法》的通知》（国科发火〔2016〕32号）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5.《关于修订印发《高新技术企业认定管理工作指引》的通知》（国科发火〔2016〕195号）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6.《国家税务总局关于实施高新技术企业所得税优惠政策有关问题的公告》（国家税务总局公告2017年第24号）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7.《国家税务总局关于发布修订后的《企业所得税优惠政策事项办理办法》的公告》（国家税务总局公告2018年第23号）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27" w:name="_Toc9668"/>
      <w:bookmarkStart w:id="228" w:name="_Toc743"/>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29" w:name="_Toc1594"/>
      <w:bookmarkStart w:id="230" w:name="_Toc939"/>
      <w:r>
        <w:rPr>
          <w:rFonts w:hint="eastAsia" w:ascii="仿宋_GB2312" w:hAnsi="仿宋_GB2312" w:eastAsia="仿宋_GB2312" w:cs="仿宋_GB2312"/>
          <w:b/>
          <w:bCs/>
          <w:color w:val="auto"/>
          <w:sz w:val="32"/>
          <w:szCs w:val="32"/>
          <w:highlight w:val="none"/>
          <w:lang w:val="en-US" w:eastAsia="zh-CN"/>
        </w:rPr>
        <w:t>（3）技术先进型服务企业优惠政策</w:t>
      </w:r>
      <w:bookmarkEnd w:id="227"/>
      <w:bookmarkEnd w:id="228"/>
      <w:bookmarkEnd w:id="229"/>
      <w:bookmarkEnd w:id="230"/>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24"/>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宋体" w:eastAsia="仿宋_GB2312" w:cs="Times New Roman"/>
          <w:color w:val="auto"/>
          <w:kern w:val="0"/>
          <w:sz w:val="32"/>
          <w:szCs w:val="32"/>
          <w:highlight w:val="none"/>
          <w:shd w:val="clear" w:color="auto" w:fill="FFFFFF"/>
          <w:lang w:val="en-US" w:eastAsia="zh-CN" w:bidi="ar-SA"/>
        </w:rPr>
        <w:t>经认定的技术先进型服务企业</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pStyle w:val="24"/>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1.自2017年1月1日起,在全国范围内对经认定的技术先进型服务企业（服务外包类）,减按15%的税率征收企业所得税。</w:t>
      </w:r>
    </w:p>
    <w:p>
      <w:pPr>
        <w:pStyle w:val="24"/>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2.自2018年1月1日起,在全国范围内对经认定的技术先进型服务企业（服务贸易类）,减按15%的税率征收企业所得税。</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1.《财政部税务总局商务部科技部国家发展改革委关于将技术先进型服务企业所得税政策推广到全国实施的通知》（财税〔2017〕79号）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2.《财政部税务总局商务部科技部国家发展改革委关于将服务贸易创新发展试点地区技术先进型服务企业所得税政策推广至全国实施的通知》（财税〔2018〕44号）</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3.《国家税务总局关于发布修订后的《企业所得税优惠政策事项办理办法》的公告》（国家税务总局公告2018年第23号）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31" w:name="_Toc16061"/>
      <w:bookmarkStart w:id="232" w:name="_Toc4879"/>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33" w:name="_Toc702"/>
      <w:bookmarkStart w:id="234" w:name="_Toc6309"/>
      <w:r>
        <w:rPr>
          <w:rFonts w:hint="eastAsia" w:ascii="仿宋_GB2312" w:hAnsi="仿宋_GB2312" w:eastAsia="仿宋_GB2312" w:cs="仿宋_GB2312"/>
          <w:b/>
          <w:bCs/>
          <w:color w:val="auto"/>
          <w:sz w:val="32"/>
          <w:szCs w:val="32"/>
          <w:highlight w:val="none"/>
          <w:lang w:val="en-US" w:eastAsia="zh-CN"/>
        </w:rPr>
        <w:t>（4）软件产品增值税即征即退政策</w:t>
      </w:r>
      <w:bookmarkEnd w:id="231"/>
      <w:bookmarkEnd w:id="232"/>
      <w:bookmarkEnd w:id="233"/>
      <w:bookmarkEnd w:id="234"/>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keepNext w:val="0"/>
        <w:keepLines w:val="0"/>
        <w:pageBreakBefore w:val="0"/>
        <w:shd w:val="clear" w:color="auto" w:fill="auto"/>
        <w:kinsoku/>
        <w:wordWrap/>
        <w:overflowPunct/>
        <w:topLinePunct w:val="0"/>
        <w:autoSpaceDE/>
        <w:autoSpaceDN/>
        <w:bidi w:val="0"/>
        <w:snapToGrid/>
        <w:spacing w:before="0" w:beforeAutospacing="0" w:after="0" w:afterAutospacing="0" w:line="360" w:lineRule="auto"/>
        <w:ind w:firstLine="640" w:firstLineChars="200"/>
        <w:jc w:val="left"/>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宋体" w:eastAsia="仿宋_GB2312" w:cs="Times New Roman"/>
          <w:color w:val="auto"/>
          <w:kern w:val="0"/>
          <w:sz w:val="32"/>
          <w:szCs w:val="32"/>
          <w:highlight w:val="none"/>
          <w:shd w:val="clear" w:color="auto" w:fill="FFFFFF"/>
          <w:lang w:val="en-US" w:eastAsia="zh-CN" w:bidi="ar-SA"/>
        </w:rPr>
        <w:t>符合条件的增值税一般纳税人</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pStyle w:val="24"/>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1.增值税一般纳税人销售其自行开发生产的软件产品,按现行税率征收增值税后,对其增值税实际税负超过3%的部分实行即征即退政策。</w:t>
      </w:r>
    </w:p>
    <w:p>
      <w:pPr>
        <w:pStyle w:val="24"/>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2.增值税一般纳税人将进口软件产品进行本地化改造后对外销售,其销售的软件产品可享受财税〔2011〕100号第一条第一款规定的增值税即征即退政策。</w:t>
      </w:r>
    </w:p>
    <w:p>
      <w:pPr>
        <w:keepNext w:val="0"/>
        <w:keepLines w:val="0"/>
        <w:pageBreakBefore w:val="0"/>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本地化改造是指对进口软件产品进行重新设计、改进、转换等,单纯对进口软件产品进行汉字化处理不包括在内。</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keepNext w:val="0"/>
        <w:keepLines w:val="0"/>
        <w:pageBreakBefore w:val="0"/>
        <w:widowControl/>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FFFFFF"/>
          <w:lang w:val="en-US" w:eastAsia="zh-CN"/>
        </w:rPr>
      </w:pPr>
      <w:r>
        <w:rPr>
          <w:rFonts w:hint="eastAsia" w:ascii="黑体" w:hAnsi="黑体" w:eastAsia="黑体" w:cs="黑体"/>
          <w:b w:val="0"/>
          <w:bCs w:val="0"/>
          <w:color w:val="auto"/>
          <w:sz w:val="32"/>
          <w:szCs w:val="32"/>
          <w:highlight w:val="none"/>
          <w:shd w:val="clear" w:color="auto" w:fill="FFFFFF"/>
          <w:lang w:val="en-US" w:eastAsia="zh-CN"/>
        </w:rPr>
        <w:t>1.《关于软件产品增值税政策的通知》（财税〔2011〕100号）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35" w:name="_Toc19863"/>
      <w:bookmarkStart w:id="236" w:name="_Toc8169"/>
    </w:p>
    <w:p>
      <w:pPr>
        <w:keepNext w:val="0"/>
        <w:keepLines w:val="0"/>
        <w:pageBreakBefore w:val="0"/>
        <w:widowControl/>
        <w:kinsoku/>
        <w:wordWrap/>
        <w:overflowPunct/>
        <w:topLinePunct w:val="0"/>
        <w:autoSpaceDE/>
        <w:autoSpaceDN/>
        <w:bidi w:val="0"/>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237" w:name="_Toc3605"/>
      <w:bookmarkStart w:id="238" w:name="_Toc3825"/>
      <w:r>
        <w:rPr>
          <w:rFonts w:hint="eastAsia" w:ascii="仿宋_GB2312" w:hAnsi="仿宋_GB2312" w:eastAsia="仿宋_GB2312" w:cs="仿宋_GB2312"/>
          <w:b/>
          <w:bCs/>
          <w:color w:val="auto"/>
          <w:sz w:val="32"/>
          <w:szCs w:val="32"/>
          <w:highlight w:val="none"/>
          <w:lang w:val="en-US" w:eastAsia="zh-CN"/>
        </w:rPr>
        <w:t>4.关联交易等税收政策</w:t>
      </w:r>
      <w:bookmarkEnd w:id="235"/>
      <w:bookmarkEnd w:id="236"/>
      <w:bookmarkEnd w:id="237"/>
      <w:bookmarkEnd w:id="238"/>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39" w:name="_Toc28085"/>
      <w:bookmarkStart w:id="240" w:name="_Toc13659"/>
      <w:bookmarkStart w:id="241" w:name="_Toc9042"/>
      <w:bookmarkStart w:id="242" w:name="_Toc6862"/>
      <w:r>
        <w:rPr>
          <w:rFonts w:hint="eastAsia" w:ascii="仿宋_GB2312" w:hAnsi="仿宋_GB2312" w:eastAsia="仿宋_GB2312" w:cs="仿宋_GB2312"/>
          <w:b/>
          <w:bCs/>
          <w:color w:val="auto"/>
          <w:sz w:val="32"/>
          <w:szCs w:val="32"/>
          <w:highlight w:val="none"/>
          <w:lang w:val="en-US" w:eastAsia="zh-CN"/>
        </w:rPr>
        <w:t>（1）关联申报</w:t>
      </w:r>
      <w:bookmarkEnd w:id="239"/>
      <w:bookmarkEnd w:id="240"/>
      <w:bookmarkEnd w:id="241"/>
      <w:bookmarkEnd w:id="242"/>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非居民企业</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实行查账征收的居民企业和在中国境内设立机构、场所并据实申报缴纳企业所得税的非居民企业，符合以下两种情形之一的，应当进行关联申报：</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1.年度内与其关联方发生业务往来的；</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2.年度内未与其关联方发生业务往来，但符合</w:t>
      </w:r>
      <w:r>
        <w:rPr>
          <w:rFonts w:ascii="仿宋_GB2312" w:hAnsi="宋体" w:eastAsia="仿宋_GB2312" w:cs="Times New Roman"/>
          <w:i w:val="0"/>
          <w:iCs w:val="0"/>
          <w:caps w:val="0"/>
          <w:color w:val="auto"/>
          <w:spacing w:val="0"/>
          <w:sz w:val="32"/>
          <w:szCs w:val="32"/>
          <w:highlight w:val="none"/>
          <w:shd w:val="clear" w:color="auto" w:fill="FFFFFF"/>
        </w:rPr>
        <w:t>国家税务总局公告2016年第42号</w:t>
      </w:r>
      <w:r>
        <w:rPr>
          <w:rFonts w:hint="eastAsia" w:ascii="仿宋_GB2312" w:hAnsi="宋体" w:eastAsia="仿宋_GB2312" w:cs="Times New Roman"/>
          <w:color w:val="auto"/>
          <w:kern w:val="0"/>
          <w:sz w:val="32"/>
          <w:szCs w:val="32"/>
          <w:highlight w:val="none"/>
          <w:shd w:val="clear" w:color="auto" w:fill="FFFFFF"/>
          <w:lang w:val="en-US" w:eastAsia="zh-CN" w:bidi="ar-SA"/>
        </w:rPr>
        <w:t>第五条规定需要报送国别报告的。</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黑体" w:hAnsi="黑体" w:eastAsia="黑体" w:cs="黑体"/>
          <w:color w:val="auto"/>
          <w:kern w:val="0"/>
          <w:sz w:val="32"/>
          <w:szCs w:val="32"/>
          <w:highlight w:val="none"/>
          <w:shd w:val="clear" w:color="auto" w:fill="FFFFFF"/>
          <w:lang w:val="en-US" w:eastAsia="zh-CN" w:bidi="ar-SA"/>
        </w:rPr>
      </w:pPr>
      <w:r>
        <w:rPr>
          <w:rFonts w:hint="eastAsia" w:ascii="黑体" w:hAnsi="黑体" w:eastAsia="黑体" w:cs="黑体"/>
          <w:color w:val="auto"/>
          <w:kern w:val="0"/>
          <w:sz w:val="32"/>
          <w:szCs w:val="32"/>
          <w:highlight w:val="none"/>
          <w:shd w:val="clear" w:color="auto" w:fill="FFFFFF"/>
          <w:lang w:val="en-US" w:eastAsia="zh-CN" w:bidi="ar-SA"/>
        </w:rPr>
        <w:t>1.《国家税务总局关于完善关联申报和同期资料管理有关事项的公告》（国家税务总局公告2016年第42号）</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黑体" w:hAnsi="黑体" w:eastAsia="黑体" w:cs="黑体"/>
          <w:color w:val="auto"/>
          <w:kern w:val="0"/>
          <w:sz w:val="32"/>
          <w:szCs w:val="32"/>
          <w:highlight w:val="none"/>
          <w:shd w:val="clear" w:color="auto" w:fill="FFFFFF"/>
          <w:lang w:val="en-US" w:eastAsia="zh-CN" w:bidi="ar-SA"/>
        </w:rPr>
      </w:pPr>
      <w:r>
        <w:rPr>
          <w:rFonts w:hint="eastAsia" w:ascii="黑体" w:hAnsi="黑体" w:eastAsia="黑体" w:cs="黑体"/>
          <w:color w:val="auto"/>
          <w:kern w:val="0"/>
          <w:sz w:val="32"/>
          <w:szCs w:val="32"/>
          <w:highlight w:val="none"/>
          <w:shd w:val="clear" w:color="auto" w:fill="FFFFFF"/>
          <w:lang w:val="en-US" w:eastAsia="zh-CN" w:bidi="ar-SA"/>
        </w:rPr>
        <w:t>2.《国家税务总局关于进一步深化税务领域“放管服”改革培育和激发市场主体活力若干措施的通知》（税总征科发〔2021〕69号）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43" w:name="_Toc31120"/>
      <w:bookmarkStart w:id="244" w:name="_Toc22890"/>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45" w:name="_Toc16348"/>
      <w:bookmarkStart w:id="246" w:name="_Toc31632"/>
      <w:r>
        <w:rPr>
          <w:rFonts w:hint="eastAsia" w:ascii="仿宋_GB2312" w:hAnsi="仿宋_GB2312" w:eastAsia="仿宋_GB2312" w:cs="仿宋_GB2312"/>
          <w:b/>
          <w:bCs/>
          <w:color w:val="auto"/>
          <w:sz w:val="32"/>
          <w:szCs w:val="32"/>
          <w:highlight w:val="none"/>
          <w:lang w:val="en-US" w:eastAsia="zh-CN"/>
        </w:rPr>
        <w:t>（2）同期资料</w:t>
      </w:r>
      <w:bookmarkEnd w:id="243"/>
      <w:bookmarkEnd w:id="244"/>
      <w:bookmarkEnd w:id="245"/>
      <w:bookmarkEnd w:id="246"/>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1.报送主体文档企业：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符合下列条件之一的企业，应当准备主体文档:</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①年度发生跨境关联交易，且合并该企业财务报表的最终控股企业所属企业集团已准备主体文档。</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②年度关联交易总额超过10亿元。</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640" w:firstLineChars="200"/>
        <w:jc w:val="both"/>
        <w:textAlignment w:val="auto"/>
        <w:outlineLvl w:val="9"/>
        <w:rPr>
          <w:rFonts w:hint="default"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2.报送本地文档企业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年度关联交易金额符合下列条件之一的企业，应当准备本地文档：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①有形资产所有权转让金额（来料加工业务按照年度进出口报关价格计算）超过2亿元。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②金融资产转让金额超过1亿元。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③无形资产所有权转让金额超过1亿元。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④其他关联交易金额合计超过4000万元。</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both"/>
        <w:textAlignment w:val="auto"/>
        <w:outlineLvl w:val="9"/>
        <w:rPr>
          <w:rFonts w:hint="default" w:ascii="仿宋_GB2312" w:hAnsi="宋体" w:eastAsia="仿宋_GB2312" w:cs="Times New Roman"/>
          <w:b w:val="0"/>
          <w:bCs w:val="0"/>
          <w:color w:val="auto"/>
          <w:kern w:val="0"/>
          <w:sz w:val="32"/>
          <w:szCs w:val="32"/>
          <w:highlight w:val="none"/>
          <w:shd w:val="clear" w:color="auto" w:fill="FFFFFF"/>
          <w:lang w:val="en-US" w:eastAsia="zh-CN" w:bidi="ar-SA"/>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3.报送特殊事项文档企业</w:t>
      </w:r>
    </w:p>
    <w:p>
      <w:pPr>
        <w:keepNext w:val="0"/>
        <w:keepLines w:val="0"/>
        <w:pageBreakBefore w:val="0"/>
        <w:widowControl/>
        <w:shd w:val="clear" w:color="auto" w:fill="auto"/>
        <w:kinsoku/>
        <w:wordWrap/>
        <w:overflowPunct/>
        <w:topLinePunct w:val="0"/>
        <w:autoSpaceDE/>
        <w:autoSpaceDN/>
        <w:bidi w:val="0"/>
        <w:snapToGrid/>
        <w:spacing w:before="0" w:beforeAutospacing="0" w:after="0" w:afterAutospacing="0" w:line="360" w:lineRule="auto"/>
        <w:ind w:firstLine="640" w:firstLineChars="200"/>
        <w:jc w:val="both"/>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宋体" w:eastAsia="仿宋_GB2312" w:cs="Times New Roman"/>
          <w:b w:val="0"/>
          <w:bCs w:val="0"/>
          <w:color w:val="auto"/>
          <w:kern w:val="0"/>
          <w:sz w:val="32"/>
          <w:szCs w:val="32"/>
          <w:highlight w:val="none"/>
          <w:shd w:val="clear" w:color="auto" w:fill="FFFFFF"/>
          <w:lang w:val="en-US" w:eastAsia="zh-CN" w:bidi="ar-SA"/>
        </w:rPr>
        <w:t>特殊事项文档包括成本分摊协议特殊事项文档和资本弱化特殊事项文档。企业签订或者执行成本分摊协议的，应当准备成本分摊协议特殊事项文档。企业关联债资比例超过标准比例需要说明符合独立交易原则的，应当准备资本弱化特殊事项文档。</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同期资料是在关联交易发生时存在的转让定价证明文件或相关资料，具体包括三种文档，分别是主体文档、本地文档和特殊事项文档。每种文档分别设定准备条件，企业结合自身情况，只要满足其中一种文档的准备条件就要准备相应的同期资料文档，存在企业同一个年度准备多种文档的可能性。</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1.《国家税务总局关于完善关联申报和同期资料管理有关事项的公告》（国家税务总局公告2016年第42号）</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2.《国家税务总局关于发布〈特别纳税调查调整及相互商程理办法）的公告》（国家税务总局公告2017年第6号）</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3.《国家税务总局关于明确同期资料主体文档提供及管理有关事项的公告》（国家税务总局公告2018年第14号）</w:t>
      </w:r>
    </w:p>
    <w:p>
      <w:pPr>
        <w:keepNext w:val="0"/>
        <w:keepLines w:val="0"/>
        <w:pageBreakBefore w:val="0"/>
        <w:widowControl/>
        <w:kinsoku/>
        <w:wordWrap/>
        <w:overflowPunct/>
        <w:topLinePunct w:val="0"/>
        <w:autoSpaceDE/>
        <w:autoSpaceDN/>
        <w:bidi w:val="0"/>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47" w:name="_Toc16521"/>
      <w:bookmarkStart w:id="248" w:name="_Toc12011"/>
    </w:p>
    <w:p>
      <w:pPr>
        <w:keepNext w:val="0"/>
        <w:keepLines w:val="0"/>
        <w:pageBreakBefore w:val="0"/>
        <w:widowControl/>
        <w:kinsoku/>
        <w:wordWrap/>
        <w:overflowPunct/>
        <w:topLinePunct w:val="0"/>
        <w:autoSpaceDE/>
        <w:autoSpaceDN/>
        <w:bidi w:val="0"/>
        <w:snapToGrid/>
        <w:spacing w:line="360" w:lineRule="auto"/>
        <w:jc w:val="both"/>
        <w:textAlignment w:val="auto"/>
        <w:outlineLvl w:val="3"/>
        <w:rPr>
          <w:rFonts w:hint="eastAsia" w:ascii="仿宋_GB2312" w:hAnsi="仿宋_GB2312" w:eastAsia="仿宋_GB2312" w:cs="仿宋_GB2312"/>
          <w:b/>
          <w:bCs/>
          <w:color w:val="auto"/>
          <w:sz w:val="32"/>
          <w:szCs w:val="32"/>
          <w:highlight w:val="none"/>
          <w:lang w:val="en-US" w:eastAsia="zh-CN"/>
        </w:rPr>
      </w:pPr>
      <w:bookmarkStart w:id="249" w:name="_Toc19149"/>
      <w:bookmarkStart w:id="250" w:name="_Toc290"/>
      <w:r>
        <w:rPr>
          <w:rFonts w:hint="eastAsia" w:ascii="仿宋_GB2312" w:hAnsi="仿宋_GB2312" w:eastAsia="仿宋_GB2312" w:cs="仿宋_GB2312"/>
          <w:b/>
          <w:bCs/>
          <w:color w:val="auto"/>
          <w:sz w:val="32"/>
          <w:szCs w:val="32"/>
          <w:highlight w:val="none"/>
          <w:lang w:val="en-US" w:eastAsia="zh-CN"/>
        </w:rPr>
        <w:t>（3）预约定价安排政策</w:t>
      </w:r>
      <w:bookmarkEnd w:id="247"/>
      <w:bookmarkEnd w:id="248"/>
      <w:bookmarkEnd w:id="249"/>
      <w:bookmarkEnd w:id="250"/>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640" w:firstLineChars="200"/>
        <w:textAlignment w:val="auto"/>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预约定价安排一般适用于同时满足以下条件的企业：</w:t>
      </w:r>
    </w:p>
    <w:p>
      <w:pPr>
        <w:pStyle w:val="1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640" w:firstLineChars="200"/>
        <w:textAlignment w:val="auto"/>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1.年度发生的关联交易金额在4000万元人民币以上；</w:t>
      </w:r>
    </w:p>
    <w:p>
      <w:pPr>
        <w:pStyle w:val="1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640" w:firstLineChars="200"/>
        <w:textAlignment w:val="auto"/>
        <w:rPr>
          <w:rFonts w:hint="eastAsia" w:ascii="仿宋_GB2312" w:hAnsi="宋体" w:eastAsia="仿宋_GB2312" w:cs="Times New Roman"/>
          <w:color w:val="auto"/>
          <w:kern w:val="0"/>
          <w:sz w:val="32"/>
          <w:szCs w:val="32"/>
          <w:highlight w:val="none"/>
          <w:shd w:val="clear" w:color="auto" w:fill="FFFFFF"/>
          <w:lang w:val="en-US" w:eastAsia="zh-CN" w:bidi="ar-SA"/>
        </w:rPr>
      </w:pPr>
      <w:r>
        <w:rPr>
          <w:rFonts w:hint="eastAsia" w:ascii="仿宋_GB2312" w:hAnsi="宋体" w:eastAsia="仿宋_GB2312" w:cs="Times New Roman"/>
          <w:color w:val="auto"/>
          <w:kern w:val="0"/>
          <w:sz w:val="32"/>
          <w:szCs w:val="32"/>
          <w:highlight w:val="none"/>
          <w:shd w:val="clear" w:color="auto" w:fill="FFFFFF"/>
          <w:lang w:val="en-US" w:eastAsia="zh-CN" w:bidi="ar-SA"/>
        </w:rPr>
        <w:t>2.依法履行关联申报义务；</w:t>
      </w:r>
    </w:p>
    <w:p>
      <w:pPr>
        <w:pStyle w:val="16"/>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0" w:beforeAutospacing="0" w:after="0" w:afterAutospacing="0" w:line="360" w:lineRule="auto"/>
        <w:ind w:firstLine="640" w:firstLineChars="200"/>
        <w:jc w:val="left"/>
        <w:textAlignment w:val="auto"/>
        <w:outlineLvl w:val="9"/>
        <w:rPr>
          <w:rFonts w:hint="eastAsia" w:ascii="楷体_GB2312" w:hAnsi="楷体_GB2312" w:eastAsia="楷体_GB2312" w:cs="楷体_GB2312"/>
          <w:bCs/>
          <w:color w:val="auto"/>
          <w:sz w:val="32"/>
          <w:szCs w:val="32"/>
          <w:highlight w:val="none"/>
          <w:shd w:val="clear" w:color="auto" w:fill="FFFFFF"/>
          <w:lang w:val="en-US" w:eastAsia="zh-CN"/>
        </w:rPr>
      </w:pPr>
      <w:r>
        <w:rPr>
          <w:rFonts w:hint="eastAsia" w:ascii="仿宋_GB2312" w:hAnsi="宋体" w:eastAsia="仿宋_GB2312" w:cs="Times New Roman"/>
          <w:color w:val="auto"/>
          <w:kern w:val="0"/>
          <w:sz w:val="32"/>
          <w:szCs w:val="32"/>
          <w:highlight w:val="none"/>
          <w:shd w:val="clear" w:color="auto" w:fill="FFFFFF"/>
          <w:lang w:val="en-US" w:eastAsia="zh-CN" w:bidi="ar-SA"/>
        </w:rPr>
        <w:t>3.按规定准备、保存和提供同期资料。</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仿宋_GB2312" w:eastAsia="仿宋_GB2312" w:cs="Times New Roman"/>
          <w:bCs w:val="0"/>
          <w:color w:val="auto"/>
          <w:sz w:val="32"/>
          <w:szCs w:val="32"/>
          <w:highlight w:val="none"/>
          <w:shd w:val="clear" w:color="auto" w:fill="FFFFFF"/>
          <w:lang w:val="en-US" w:eastAsia="zh-CN"/>
        </w:rPr>
      </w:pPr>
      <w:r>
        <w:rPr>
          <w:rFonts w:hint="eastAsia" w:ascii="仿宋_GB2312" w:eastAsia="仿宋_GB2312" w:cs="Times New Roman"/>
          <w:bCs w:val="0"/>
          <w:color w:val="auto"/>
          <w:sz w:val="32"/>
          <w:szCs w:val="32"/>
          <w:highlight w:val="none"/>
          <w:shd w:val="clear" w:color="auto" w:fill="FFFFFF"/>
          <w:lang w:val="en-US" w:eastAsia="zh-CN"/>
        </w:rPr>
        <w:t>企业可以依据税法相关规定，与税务机关就企业未来年度关联交易的定价原则和计算方法达成预约定价安排。预约定价安排包括单边、双边和多边3种类型。</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仿宋_GB2312" w:eastAsia="仿宋_GB2312" w:cs="Times New Roman"/>
          <w:bCs w:val="0"/>
          <w:color w:val="auto"/>
          <w:sz w:val="32"/>
          <w:szCs w:val="32"/>
          <w:highlight w:val="none"/>
          <w:shd w:val="clear" w:color="auto" w:fill="FFFFFF"/>
          <w:lang w:val="en-US" w:eastAsia="zh-CN"/>
        </w:rPr>
      </w:pPr>
      <w:r>
        <w:rPr>
          <w:rFonts w:hint="eastAsia" w:ascii="仿宋_GB2312" w:eastAsia="仿宋_GB2312" w:cs="Times New Roman"/>
          <w:bCs w:val="0"/>
          <w:color w:val="auto"/>
          <w:sz w:val="32"/>
          <w:szCs w:val="32"/>
          <w:highlight w:val="none"/>
          <w:shd w:val="clear" w:color="auto" w:fill="FFFFFF"/>
          <w:lang w:val="en-US" w:eastAsia="zh-CN"/>
        </w:rPr>
        <w:t>预约定价安排的谈签与执行通常经过预备会谈、正式申请、审核评估、磋商、签订安排和监控执行6个阶段。单边预约定价安排简易程序则精简为申请评估、协商签署和监控执行3个阶段。</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1.《</w:t>
      </w:r>
      <w:r>
        <w:rPr>
          <w:rFonts w:hint="eastAsia" w:ascii="黑体" w:hAnsi="黑体" w:eastAsia="黑体" w:cs="黑体"/>
          <w:bCs w:val="0"/>
          <w:color w:val="auto"/>
          <w:sz w:val="32"/>
          <w:szCs w:val="32"/>
          <w:highlight w:val="none"/>
          <w:shd w:val="clear" w:color="auto" w:fill="FFFFFF"/>
          <w:lang w:val="en-US" w:eastAsia="zh-CN"/>
        </w:rPr>
        <w:fldChar w:fldCharType="begin"/>
      </w:r>
      <w:r>
        <w:rPr>
          <w:rFonts w:hint="eastAsia" w:ascii="黑体" w:hAnsi="黑体" w:eastAsia="黑体" w:cs="黑体"/>
          <w:bCs w:val="0"/>
          <w:color w:val="auto"/>
          <w:sz w:val="32"/>
          <w:szCs w:val="32"/>
          <w:highlight w:val="none"/>
          <w:shd w:val="clear" w:color="auto" w:fill="FFFFFF"/>
          <w:lang w:val="en-US" w:eastAsia="zh-CN"/>
        </w:rPr>
        <w:instrText xml:space="preserve"> HYPERLINK "http://www.shui5.cn/article/28/22102.html" </w:instrText>
      </w:r>
      <w:r>
        <w:rPr>
          <w:rFonts w:hint="eastAsia" w:ascii="黑体" w:hAnsi="黑体" w:eastAsia="黑体" w:cs="黑体"/>
          <w:bCs w:val="0"/>
          <w:color w:val="auto"/>
          <w:sz w:val="32"/>
          <w:szCs w:val="32"/>
          <w:highlight w:val="none"/>
          <w:shd w:val="clear" w:color="auto" w:fill="FFFFFF"/>
          <w:lang w:val="en-US" w:eastAsia="zh-CN"/>
        </w:rPr>
        <w:fldChar w:fldCharType="separate"/>
      </w:r>
      <w:r>
        <w:rPr>
          <w:rFonts w:hint="eastAsia" w:ascii="黑体" w:hAnsi="黑体" w:eastAsia="黑体" w:cs="黑体"/>
          <w:bCs w:val="0"/>
          <w:color w:val="auto"/>
          <w:sz w:val="32"/>
          <w:szCs w:val="32"/>
          <w:highlight w:val="none"/>
          <w:shd w:val="clear" w:color="auto" w:fill="FFFFFF"/>
          <w:lang w:val="en-US" w:eastAsia="zh-CN"/>
        </w:rPr>
        <w:t>国家税务总局关于印发&lt;特别纳税调整实施办法(试行)&gt;的通知</w:t>
      </w:r>
      <w:r>
        <w:rPr>
          <w:rFonts w:hint="eastAsia" w:ascii="黑体" w:hAnsi="黑体" w:eastAsia="黑体" w:cs="黑体"/>
          <w:bCs w:val="0"/>
          <w:color w:val="auto"/>
          <w:sz w:val="32"/>
          <w:szCs w:val="32"/>
          <w:highlight w:val="none"/>
          <w:shd w:val="clear" w:color="auto" w:fill="FFFFFF"/>
          <w:lang w:val="en-US" w:eastAsia="zh-CN"/>
        </w:rPr>
        <w:fldChar w:fldCharType="end"/>
      </w:r>
      <w:r>
        <w:rPr>
          <w:rFonts w:hint="eastAsia" w:ascii="黑体" w:hAnsi="黑体" w:eastAsia="黑体" w:cs="黑体"/>
          <w:bCs w:val="0"/>
          <w:color w:val="auto"/>
          <w:sz w:val="32"/>
          <w:szCs w:val="32"/>
          <w:highlight w:val="none"/>
          <w:shd w:val="clear" w:color="auto" w:fill="FFFFFF"/>
          <w:lang w:val="en-US" w:eastAsia="zh-CN"/>
        </w:rPr>
        <w:t>》（</w:t>
      </w:r>
      <w:r>
        <w:rPr>
          <w:rFonts w:hint="eastAsia" w:ascii="黑体" w:hAnsi="黑体" w:eastAsia="黑体" w:cs="黑体"/>
          <w:bCs w:val="0"/>
          <w:color w:val="auto"/>
          <w:sz w:val="32"/>
          <w:szCs w:val="32"/>
          <w:highlight w:val="none"/>
          <w:shd w:val="clear" w:color="auto" w:fill="FFFFFF"/>
          <w:lang w:val="en-US" w:eastAsia="zh-CN"/>
        </w:rPr>
        <w:fldChar w:fldCharType="begin"/>
      </w:r>
      <w:r>
        <w:rPr>
          <w:rFonts w:hint="eastAsia" w:ascii="黑体" w:hAnsi="黑体" w:eastAsia="黑体" w:cs="黑体"/>
          <w:bCs w:val="0"/>
          <w:color w:val="auto"/>
          <w:sz w:val="32"/>
          <w:szCs w:val="32"/>
          <w:highlight w:val="none"/>
          <w:shd w:val="clear" w:color="auto" w:fill="FFFFFF"/>
          <w:lang w:val="en-US" w:eastAsia="zh-CN"/>
        </w:rPr>
        <w:instrText xml:space="preserve"> HYPERLINK "https://www.shui5.cn/article/28/22102.html" </w:instrText>
      </w:r>
      <w:r>
        <w:rPr>
          <w:rFonts w:hint="eastAsia" w:ascii="黑体" w:hAnsi="黑体" w:eastAsia="黑体" w:cs="黑体"/>
          <w:bCs w:val="0"/>
          <w:color w:val="auto"/>
          <w:sz w:val="32"/>
          <w:szCs w:val="32"/>
          <w:highlight w:val="none"/>
          <w:shd w:val="clear" w:color="auto" w:fill="FFFFFF"/>
          <w:lang w:val="en-US" w:eastAsia="zh-CN"/>
        </w:rPr>
        <w:fldChar w:fldCharType="separate"/>
      </w:r>
      <w:r>
        <w:rPr>
          <w:rFonts w:hint="eastAsia" w:ascii="黑体" w:hAnsi="黑体" w:eastAsia="黑体" w:cs="黑体"/>
          <w:bCs w:val="0"/>
          <w:color w:val="auto"/>
          <w:sz w:val="32"/>
          <w:szCs w:val="32"/>
          <w:highlight w:val="none"/>
          <w:shd w:val="clear" w:color="auto" w:fill="FFFFFF"/>
          <w:lang w:val="en-US" w:eastAsia="zh-CN"/>
        </w:rPr>
        <w:t>国税发[2009]2号</w:t>
      </w:r>
      <w:r>
        <w:rPr>
          <w:rFonts w:hint="eastAsia" w:ascii="黑体" w:hAnsi="黑体" w:eastAsia="黑体" w:cs="黑体"/>
          <w:bCs w:val="0"/>
          <w:color w:val="auto"/>
          <w:sz w:val="32"/>
          <w:szCs w:val="32"/>
          <w:highlight w:val="none"/>
          <w:shd w:val="clear" w:color="auto" w:fill="FFFFFF"/>
          <w:lang w:val="en-US" w:eastAsia="zh-CN"/>
        </w:rPr>
        <w:fldChar w:fldCharType="end"/>
      </w:r>
      <w:r>
        <w:rPr>
          <w:rFonts w:hint="eastAsia" w:ascii="黑体" w:hAnsi="黑体" w:eastAsia="黑体" w:cs="黑体"/>
          <w:bCs w:val="0"/>
          <w:color w:val="auto"/>
          <w:sz w:val="32"/>
          <w:szCs w:val="32"/>
          <w:highlight w:val="none"/>
          <w:shd w:val="clear" w:color="auto" w:fill="FFFFFF"/>
          <w:lang w:val="en-US" w:eastAsia="zh-CN"/>
        </w:rPr>
        <w:t>）</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2.《国家税务总局关于完善预约定价安排管理有关事项的公告》（国家税务总局公告2016年第64号）</w:t>
      </w:r>
    </w:p>
    <w:p>
      <w:pPr>
        <w:pStyle w:val="1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bCs w:val="0"/>
          <w:color w:val="auto"/>
          <w:sz w:val="32"/>
          <w:szCs w:val="32"/>
          <w:highlight w:val="none"/>
          <w:shd w:val="clear" w:color="auto" w:fill="FFFFFF"/>
          <w:lang w:val="en-US" w:eastAsia="zh-CN"/>
        </w:rPr>
      </w:pPr>
      <w:r>
        <w:rPr>
          <w:rFonts w:hint="eastAsia" w:ascii="黑体" w:hAnsi="黑体" w:eastAsia="黑体" w:cs="黑体"/>
          <w:bCs w:val="0"/>
          <w:color w:val="auto"/>
          <w:sz w:val="32"/>
          <w:szCs w:val="32"/>
          <w:highlight w:val="none"/>
          <w:shd w:val="clear" w:color="auto" w:fill="FFFFFF"/>
          <w:lang w:val="en-US" w:eastAsia="zh-CN"/>
        </w:rPr>
        <w:t>3.《</w:t>
      </w:r>
      <w:r>
        <w:rPr>
          <w:rFonts w:hint="eastAsia" w:ascii="黑体" w:hAnsi="黑体" w:eastAsia="黑体" w:cs="黑体"/>
          <w:bCs w:val="0"/>
          <w:color w:val="auto"/>
          <w:sz w:val="32"/>
          <w:szCs w:val="32"/>
          <w:highlight w:val="none"/>
          <w:shd w:val="clear" w:color="auto" w:fill="FFFFFF"/>
          <w:lang w:val="en-US" w:eastAsia="zh-CN"/>
        </w:rPr>
        <w:fldChar w:fldCharType="begin"/>
      </w:r>
      <w:r>
        <w:rPr>
          <w:rFonts w:hint="eastAsia" w:ascii="黑体" w:hAnsi="黑体" w:eastAsia="黑体" w:cs="黑体"/>
          <w:bCs w:val="0"/>
          <w:color w:val="auto"/>
          <w:sz w:val="32"/>
          <w:szCs w:val="32"/>
          <w:highlight w:val="none"/>
          <w:shd w:val="clear" w:color="auto" w:fill="FFFFFF"/>
          <w:lang w:val="en-US" w:eastAsia="zh-CN"/>
        </w:rPr>
        <w:instrText xml:space="preserve"> HYPERLINK "https://www.shui5.cn/article/fd/141411.html" \t "https://www.shui5.cn/article/0e/_blank" </w:instrText>
      </w:r>
      <w:r>
        <w:rPr>
          <w:rFonts w:hint="eastAsia" w:ascii="黑体" w:hAnsi="黑体" w:eastAsia="黑体" w:cs="黑体"/>
          <w:bCs w:val="0"/>
          <w:color w:val="auto"/>
          <w:sz w:val="32"/>
          <w:szCs w:val="32"/>
          <w:highlight w:val="none"/>
          <w:shd w:val="clear" w:color="auto" w:fill="FFFFFF"/>
          <w:lang w:val="en-US" w:eastAsia="zh-CN"/>
        </w:rPr>
        <w:fldChar w:fldCharType="separate"/>
      </w:r>
      <w:r>
        <w:rPr>
          <w:rFonts w:hint="eastAsia" w:ascii="黑体" w:hAnsi="黑体" w:eastAsia="黑体" w:cs="黑体"/>
          <w:bCs w:val="0"/>
          <w:color w:val="auto"/>
          <w:sz w:val="32"/>
          <w:szCs w:val="32"/>
          <w:highlight w:val="none"/>
          <w:shd w:val="clear" w:color="auto" w:fill="FFFFFF"/>
          <w:lang w:val="en-US" w:eastAsia="zh-CN"/>
        </w:rPr>
        <w:t>国家税务总局关于单边预约定价安排适用简易程序有关事项的公告</w:t>
      </w:r>
      <w:r>
        <w:rPr>
          <w:rFonts w:hint="eastAsia" w:ascii="黑体" w:hAnsi="黑体" w:eastAsia="黑体" w:cs="黑体"/>
          <w:bCs w:val="0"/>
          <w:color w:val="auto"/>
          <w:sz w:val="32"/>
          <w:szCs w:val="32"/>
          <w:highlight w:val="none"/>
          <w:shd w:val="clear" w:color="auto" w:fill="FFFFFF"/>
          <w:lang w:val="en-US" w:eastAsia="zh-CN"/>
        </w:rPr>
        <w:fldChar w:fldCharType="end"/>
      </w:r>
      <w:r>
        <w:rPr>
          <w:rFonts w:hint="eastAsia" w:ascii="黑体" w:hAnsi="黑体" w:eastAsia="黑体" w:cs="黑体"/>
          <w:bCs w:val="0"/>
          <w:color w:val="auto"/>
          <w:sz w:val="32"/>
          <w:szCs w:val="32"/>
          <w:highlight w:val="none"/>
          <w:shd w:val="clear" w:color="auto" w:fill="FFFFFF"/>
          <w:lang w:val="en-US" w:eastAsia="zh-CN"/>
        </w:rPr>
        <w:t>》(</w:t>
      </w:r>
      <w:r>
        <w:rPr>
          <w:rFonts w:hint="eastAsia" w:ascii="黑体" w:hAnsi="黑体" w:eastAsia="黑体" w:cs="黑体"/>
          <w:bCs w:val="0"/>
          <w:color w:val="auto"/>
          <w:sz w:val="32"/>
          <w:szCs w:val="32"/>
          <w:highlight w:val="none"/>
          <w:shd w:val="clear" w:color="auto" w:fill="FFFFFF"/>
          <w:lang w:val="en-US" w:eastAsia="zh-CN"/>
        </w:rPr>
        <w:fldChar w:fldCharType="begin"/>
      </w:r>
      <w:r>
        <w:rPr>
          <w:rFonts w:hint="eastAsia" w:ascii="黑体" w:hAnsi="黑体" w:eastAsia="黑体" w:cs="黑体"/>
          <w:bCs w:val="0"/>
          <w:color w:val="auto"/>
          <w:sz w:val="32"/>
          <w:szCs w:val="32"/>
          <w:highlight w:val="none"/>
          <w:shd w:val="clear" w:color="auto" w:fill="FFFFFF"/>
          <w:lang w:val="en-US" w:eastAsia="zh-CN"/>
        </w:rPr>
        <w:instrText xml:space="preserve"> HYPERLINK "https://www.shui5.cn/article/fd/141411.html" \t "https://www.shui5.cn/article/0e/_blank" </w:instrText>
      </w:r>
      <w:r>
        <w:rPr>
          <w:rFonts w:hint="eastAsia" w:ascii="黑体" w:hAnsi="黑体" w:eastAsia="黑体" w:cs="黑体"/>
          <w:bCs w:val="0"/>
          <w:color w:val="auto"/>
          <w:sz w:val="32"/>
          <w:szCs w:val="32"/>
          <w:highlight w:val="none"/>
          <w:shd w:val="clear" w:color="auto" w:fill="FFFFFF"/>
          <w:lang w:val="en-US" w:eastAsia="zh-CN"/>
        </w:rPr>
        <w:fldChar w:fldCharType="separate"/>
      </w:r>
      <w:r>
        <w:rPr>
          <w:rFonts w:hint="eastAsia" w:ascii="黑体" w:hAnsi="黑体" w:eastAsia="黑体" w:cs="黑体"/>
          <w:bCs w:val="0"/>
          <w:color w:val="auto"/>
          <w:sz w:val="32"/>
          <w:szCs w:val="32"/>
          <w:highlight w:val="none"/>
          <w:shd w:val="clear" w:color="auto" w:fill="FFFFFF"/>
          <w:lang w:val="en-US" w:eastAsia="zh-CN"/>
        </w:rPr>
        <w:t>国家税务总局公告2021年第24号</w:t>
      </w:r>
      <w:r>
        <w:rPr>
          <w:rFonts w:hint="eastAsia" w:ascii="黑体" w:hAnsi="黑体" w:eastAsia="黑体" w:cs="黑体"/>
          <w:bCs w:val="0"/>
          <w:color w:val="auto"/>
          <w:sz w:val="32"/>
          <w:szCs w:val="32"/>
          <w:highlight w:val="none"/>
          <w:shd w:val="clear" w:color="auto" w:fill="FFFFFF"/>
          <w:lang w:val="en-US" w:eastAsia="zh-CN"/>
        </w:rPr>
        <w:fldChar w:fldCharType="end"/>
      </w:r>
      <w:r>
        <w:rPr>
          <w:rFonts w:hint="eastAsia" w:ascii="黑体" w:hAnsi="黑体" w:eastAsia="黑体" w:cs="黑体"/>
          <w:bCs w:val="0"/>
          <w:color w:val="auto"/>
          <w:sz w:val="32"/>
          <w:szCs w:val="32"/>
          <w:highlight w:val="none"/>
          <w:shd w:val="clear" w:color="auto" w:fill="FFFFFF"/>
          <w:lang w:val="en-US" w:eastAsia="zh-CN"/>
        </w:rPr>
        <w:t>)</w:t>
      </w:r>
    </w:p>
    <w:p>
      <w:pPr>
        <w:keepNext w:val="0"/>
        <w:keepLines w:val="0"/>
        <w:pageBreakBefore w:val="0"/>
        <w:widowControl/>
        <w:wordWrap/>
        <w:overflowPunct/>
        <w:topLinePunct w:val="0"/>
        <w:bidi w:val="0"/>
        <w:snapToGrid/>
        <w:spacing w:line="360" w:lineRule="auto"/>
        <w:jc w:val="both"/>
        <w:outlineLvl w:val="9"/>
        <w:rPr>
          <w:rFonts w:hint="eastAsia" w:ascii="仿宋_GB2312" w:hAnsi="仿宋_GB2312" w:eastAsia="仿宋_GB2312" w:cs="仿宋_GB2312"/>
          <w:b/>
          <w:bCs/>
          <w:color w:val="auto"/>
          <w:sz w:val="32"/>
          <w:szCs w:val="32"/>
          <w:highlight w:val="none"/>
          <w:lang w:val="en-US" w:eastAsia="zh-CN"/>
        </w:rPr>
      </w:pPr>
      <w:bookmarkStart w:id="251" w:name="_Toc6692"/>
      <w:bookmarkStart w:id="252" w:name="_Toc8483"/>
    </w:p>
    <w:p>
      <w:pPr>
        <w:keepNext w:val="0"/>
        <w:keepLines w:val="0"/>
        <w:pageBreakBefore w:val="0"/>
        <w:widowControl/>
        <w:wordWrap/>
        <w:overflowPunct/>
        <w:topLinePunct w:val="0"/>
        <w:bidi w:val="0"/>
        <w:snapToGrid/>
        <w:spacing w:line="360" w:lineRule="auto"/>
        <w:jc w:val="both"/>
        <w:outlineLvl w:val="2"/>
        <w:rPr>
          <w:rFonts w:hint="eastAsia" w:ascii="仿宋_GB2312" w:hAnsi="仿宋_GB2312" w:eastAsia="仿宋_GB2312" w:cs="仿宋_GB2312"/>
          <w:b/>
          <w:bCs/>
          <w:color w:val="auto"/>
          <w:sz w:val="32"/>
          <w:szCs w:val="32"/>
          <w:highlight w:val="none"/>
        </w:rPr>
      </w:pPr>
      <w:bookmarkStart w:id="253" w:name="_Toc26702"/>
      <w:bookmarkStart w:id="254" w:name="_Toc6708"/>
      <w:r>
        <w:rPr>
          <w:rFonts w:hint="eastAsia" w:ascii="仿宋_GB2312" w:hAnsi="仿宋_GB2312" w:eastAsia="仿宋_GB2312" w:cs="仿宋_GB2312"/>
          <w:b/>
          <w:bCs/>
          <w:color w:val="auto"/>
          <w:sz w:val="32"/>
          <w:szCs w:val="32"/>
          <w:highlight w:val="none"/>
          <w:lang w:val="en-US" w:eastAsia="zh-CN"/>
        </w:rPr>
        <w:t>5.</w:t>
      </w:r>
      <w:r>
        <w:rPr>
          <w:rFonts w:hint="eastAsia" w:ascii="仿宋_GB2312" w:hAnsi="仿宋_GB2312" w:eastAsia="仿宋_GB2312" w:cs="仿宋_GB2312"/>
          <w:b/>
          <w:bCs/>
          <w:color w:val="auto"/>
          <w:sz w:val="32"/>
          <w:szCs w:val="32"/>
          <w:highlight w:val="none"/>
        </w:rPr>
        <w:t>绿色用能</w:t>
      </w:r>
      <w:r>
        <w:rPr>
          <w:rFonts w:hint="eastAsia" w:ascii="仿宋_GB2312" w:hAnsi="仿宋_GB2312" w:eastAsia="仿宋_GB2312" w:cs="仿宋_GB2312"/>
          <w:b/>
          <w:bCs/>
          <w:color w:val="auto"/>
          <w:sz w:val="32"/>
          <w:szCs w:val="32"/>
          <w:highlight w:val="none"/>
          <w:lang w:eastAsia="zh-CN"/>
        </w:rPr>
        <w:t>税收政策</w:t>
      </w:r>
      <w:bookmarkEnd w:id="251"/>
      <w:bookmarkEnd w:id="252"/>
      <w:bookmarkEnd w:id="253"/>
      <w:bookmarkEnd w:id="254"/>
    </w:p>
    <w:p>
      <w:pPr>
        <w:keepNext w:val="0"/>
        <w:keepLines w:val="0"/>
        <w:pageBreakBefore w:val="0"/>
        <w:widowControl/>
        <w:wordWrap/>
        <w:overflowPunct/>
        <w:topLinePunct w:val="0"/>
        <w:bidi w:val="0"/>
        <w:snapToGrid/>
        <w:spacing w:line="360" w:lineRule="auto"/>
        <w:jc w:val="both"/>
        <w:outlineLvl w:val="3"/>
        <w:rPr>
          <w:rFonts w:hint="eastAsia" w:ascii="仿宋_GB2312" w:hAnsi="仿宋_GB2312" w:eastAsia="仿宋_GB2312" w:cs="仿宋_GB2312"/>
          <w:b/>
          <w:bCs/>
          <w:color w:val="auto"/>
          <w:sz w:val="32"/>
          <w:szCs w:val="32"/>
          <w:highlight w:val="none"/>
        </w:rPr>
      </w:pPr>
      <w:bookmarkStart w:id="255" w:name="_Toc16222"/>
      <w:bookmarkStart w:id="256" w:name="_Toc23483"/>
      <w:bookmarkStart w:id="257" w:name="_Toc5016"/>
      <w:bookmarkStart w:id="258" w:name="_Toc30221"/>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rPr>
        <w:t>节能环保、综合利用资源生产等企业所得税政策</w:t>
      </w:r>
      <w:bookmarkEnd w:id="255"/>
      <w:bookmarkEnd w:id="256"/>
      <w:bookmarkEnd w:id="257"/>
      <w:bookmarkEnd w:id="258"/>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p>
    <w:p>
      <w:pPr>
        <w:pStyle w:val="16"/>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0" w:beforeAutospacing="0" w:after="0" w:afterAutospacing="0" w:line="400" w:lineRule="atLeast"/>
        <w:ind w:firstLine="420"/>
        <w:jc w:val="both"/>
        <w:textAlignment w:val="auto"/>
        <w:outlineLvl w:val="9"/>
        <w:rPr>
          <w:rFonts w:hint="eastAsia" w:ascii="仿宋_GB2312" w:hAnsi="宋体" w:eastAsia="仿宋_GB2312" w:cs="Times New Roman"/>
          <w:bCs w:val="0"/>
          <w:color w:val="auto"/>
          <w:sz w:val="32"/>
          <w:szCs w:val="32"/>
          <w:highlight w:val="none"/>
          <w:shd w:val="clear" w:color="auto" w:fill="FFFFFF"/>
          <w:lang w:val="en-US" w:eastAsia="zh-CN"/>
        </w:rPr>
      </w:pPr>
      <w:r>
        <w:rPr>
          <w:rFonts w:hint="eastAsia" w:ascii="仿宋_GB2312" w:hAnsi="宋体" w:eastAsia="仿宋_GB2312" w:cs="Times New Roman"/>
          <w:i w:val="0"/>
          <w:iCs w:val="0"/>
          <w:caps w:val="0"/>
          <w:color w:val="auto"/>
          <w:spacing w:val="0"/>
          <w:sz w:val="32"/>
          <w:szCs w:val="32"/>
          <w:highlight w:val="none"/>
          <w:u w:val="none"/>
          <w:shd w:val="clear" w:color="auto" w:fill="auto"/>
          <w:lang w:val="en-US" w:eastAsia="zh-CN"/>
        </w:rPr>
        <w:t>符合《</w:t>
      </w:r>
      <w:r>
        <w:rPr>
          <w:rFonts w:hint="eastAsia" w:ascii="仿宋_GB2312" w:hAnsi="宋体" w:eastAsia="仿宋_GB2312" w:cs="Times New Roman"/>
          <w:i w:val="0"/>
          <w:iCs w:val="0"/>
          <w:caps w:val="0"/>
          <w:color w:val="auto"/>
          <w:spacing w:val="0"/>
          <w:sz w:val="32"/>
          <w:szCs w:val="32"/>
          <w:highlight w:val="none"/>
          <w:u w:val="none"/>
          <w:shd w:val="clear" w:color="auto" w:fill="auto"/>
        </w:rPr>
        <w:t>环境保护、节能节水项目企业所得税优惠目录（2021年版）</w:t>
      </w:r>
      <w:r>
        <w:rPr>
          <w:rFonts w:hint="eastAsia" w:ascii="仿宋_GB2312" w:hAnsi="宋体" w:eastAsia="仿宋_GB2312" w:cs="Times New Roman"/>
          <w:i w:val="0"/>
          <w:iCs w:val="0"/>
          <w:caps w:val="0"/>
          <w:color w:val="auto"/>
          <w:spacing w:val="0"/>
          <w:sz w:val="32"/>
          <w:szCs w:val="32"/>
          <w:highlight w:val="none"/>
          <w:u w:val="none"/>
          <w:shd w:val="clear" w:color="auto" w:fill="auto"/>
          <w:lang w:eastAsia="zh-CN"/>
        </w:rPr>
        <w:t>》</w:t>
      </w:r>
      <w:r>
        <w:rPr>
          <w:rFonts w:hint="eastAsia" w:ascii="仿宋_GB2312" w:hAnsi="宋体" w:eastAsia="仿宋_GB2312" w:cs="Times New Roman"/>
          <w:i w:val="0"/>
          <w:iCs w:val="0"/>
          <w:caps w:val="0"/>
          <w:color w:val="auto"/>
          <w:spacing w:val="0"/>
          <w:sz w:val="32"/>
          <w:szCs w:val="32"/>
          <w:highlight w:val="none"/>
          <w:u w:val="none"/>
          <w:shd w:val="clear" w:color="auto" w:fill="auto"/>
          <w:lang w:val="en-US" w:eastAsia="zh-CN"/>
        </w:rPr>
        <w:t>或《</w:t>
      </w:r>
      <w:r>
        <w:rPr>
          <w:rFonts w:hint="eastAsia" w:ascii="仿宋_GB2312" w:hAnsi="宋体" w:eastAsia="仿宋_GB2312" w:cs="Times New Roman"/>
          <w:i w:val="0"/>
          <w:iCs w:val="0"/>
          <w:caps w:val="0"/>
          <w:color w:val="auto"/>
          <w:spacing w:val="0"/>
          <w:sz w:val="32"/>
          <w:szCs w:val="32"/>
          <w:highlight w:val="none"/>
          <w:u w:val="none"/>
          <w:shd w:val="clear" w:color="auto" w:fill="auto"/>
        </w:rPr>
        <w:t>资源综合利用企业所得税优惠目录（2021年版</w:t>
      </w:r>
      <w:r>
        <w:rPr>
          <w:rFonts w:hint="eastAsia" w:ascii="仿宋_GB2312" w:hAnsi="宋体" w:eastAsia="仿宋_GB2312" w:cs="Times New Roman"/>
          <w:i w:val="0"/>
          <w:iCs w:val="0"/>
          <w:caps w:val="0"/>
          <w:color w:val="auto"/>
          <w:spacing w:val="0"/>
          <w:sz w:val="32"/>
          <w:szCs w:val="32"/>
          <w:highlight w:val="none"/>
          <w:u w:val="none"/>
          <w:shd w:val="clear" w:color="auto" w:fill="auto"/>
          <w:lang w:eastAsia="zh-CN"/>
        </w:rPr>
        <w:t>）》</w:t>
      </w:r>
      <w:r>
        <w:rPr>
          <w:rFonts w:hint="eastAsia" w:ascii="仿宋_GB2312" w:hAnsi="宋体" w:eastAsia="仿宋_GB2312" w:cs="Times New Roman"/>
          <w:i w:val="0"/>
          <w:iCs w:val="0"/>
          <w:caps w:val="0"/>
          <w:color w:val="auto"/>
          <w:spacing w:val="0"/>
          <w:sz w:val="32"/>
          <w:szCs w:val="32"/>
          <w:highlight w:val="none"/>
          <w:u w:val="none"/>
          <w:shd w:val="clear" w:color="auto" w:fill="auto"/>
          <w:lang w:val="en-US" w:eastAsia="zh-CN"/>
        </w:rPr>
        <w:t>的企业</w:t>
      </w:r>
    </w:p>
    <w:p>
      <w:pPr>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p>
    <w:p>
      <w:pPr>
        <w:pStyle w:val="16"/>
        <w:keepNext w:val="0"/>
        <w:keepLines w:val="0"/>
        <w:pageBreakBefore w:val="0"/>
        <w:shd w:val="clear" w:color="auto" w:fill="FFFFFF"/>
        <w:wordWrap/>
        <w:overflowPunct/>
        <w:topLinePunct w:val="0"/>
        <w:bidi w:val="0"/>
        <w:snapToGrid/>
        <w:spacing w:line="360" w:lineRule="auto"/>
        <w:ind w:firstLine="640" w:firstLineChars="200"/>
        <w:jc w:val="both"/>
        <w:outlineLvl w:val="9"/>
        <w:rPr>
          <w:rFonts w:hint="default" w:ascii="仿宋_GB2312" w:eastAsia="仿宋_GB2312"/>
          <w:color w:val="auto"/>
          <w:sz w:val="32"/>
          <w:szCs w:val="32"/>
          <w:highlight w:val="none"/>
          <w:shd w:val="clear" w:color="auto" w:fill="FFFFFF"/>
        </w:rPr>
      </w:pPr>
      <w:r>
        <w:rPr>
          <w:rFonts w:hint="eastAsia" w:ascii="仿宋_GB2312" w:eastAsia="仿宋_GB2312"/>
          <w:color w:val="auto"/>
          <w:sz w:val="32"/>
          <w:szCs w:val="32"/>
          <w:highlight w:val="none"/>
          <w:shd w:val="clear" w:color="auto" w:fill="FFFFFF"/>
          <w:lang w:val="en-US" w:eastAsia="zh-CN"/>
        </w:rPr>
        <w:t>1.</w:t>
      </w:r>
      <w:r>
        <w:rPr>
          <w:rFonts w:ascii="仿宋_GB2312" w:eastAsia="仿宋_GB2312"/>
          <w:color w:val="auto"/>
          <w:sz w:val="32"/>
          <w:szCs w:val="32"/>
          <w:highlight w:val="none"/>
          <w:shd w:val="clear" w:color="auto" w:fill="FFFFFF"/>
        </w:rPr>
        <w:t>节能环保政策</w:t>
      </w:r>
    </w:p>
    <w:p>
      <w:pPr>
        <w:pStyle w:val="16"/>
        <w:keepNext w:val="0"/>
        <w:keepLines w:val="0"/>
        <w:pageBreakBefore w:val="0"/>
        <w:shd w:val="clear" w:color="auto" w:fill="FFFFFF"/>
        <w:wordWrap/>
        <w:overflowPunct/>
        <w:topLinePunct w:val="0"/>
        <w:bidi w:val="0"/>
        <w:snapToGrid/>
        <w:spacing w:line="360" w:lineRule="auto"/>
        <w:ind w:firstLine="640" w:firstLineChars="200"/>
        <w:jc w:val="both"/>
        <w:outlineLvl w:val="9"/>
        <w:rPr>
          <w:rFonts w:ascii="仿宋_GB2312" w:eastAsia="仿宋_GB2312"/>
          <w:color w:val="auto"/>
          <w:sz w:val="32"/>
          <w:szCs w:val="32"/>
          <w:highlight w:val="none"/>
          <w:shd w:val="clear" w:color="auto" w:fill="FFFFFF"/>
        </w:rPr>
      </w:pPr>
      <w:r>
        <w:rPr>
          <w:rFonts w:ascii="仿宋_GB2312" w:eastAsia="仿宋_GB2312"/>
          <w:color w:val="auto"/>
          <w:sz w:val="32"/>
          <w:szCs w:val="32"/>
          <w:highlight w:val="none"/>
          <w:shd w:val="clear" w:color="auto" w:fill="FFFFFF"/>
        </w:rPr>
        <w:t>自2008年1月1日起</w:t>
      </w:r>
      <w:r>
        <w:rPr>
          <w:rFonts w:hint="eastAsia" w:ascii="仿宋_GB2312" w:eastAsia="仿宋_GB2312"/>
          <w:color w:val="auto"/>
          <w:sz w:val="32"/>
          <w:szCs w:val="32"/>
          <w:highlight w:val="none"/>
          <w:shd w:val="clear" w:color="auto" w:fill="FFFFFF"/>
          <w:lang w:eastAsia="zh-CN"/>
        </w:rPr>
        <w:t>，</w:t>
      </w:r>
      <w:r>
        <w:rPr>
          <w:rFonts w:ascii="仿宋_GB2312" w:eastAsia="仿宋_GB2312"/>
          <w:color w:val="auto"/>
          <w:sz w:val="32"/>
          <w:szCs w:val="32"/>
          <w:highlight w:val="none"/>
          <w:shd w:val="clear" w:color="auto" w:fill="FFFFFF"/>
        </w:rPr>
        <w:t>企业从事符合条件的环境保护、节能节水项目所得（包括公共污水处理、公共垃圾处理、沼气综合开发利用、节能减排技术改造、海水淡化等），自项目取得第一笔生产经营收入所属纳税年度起，第一年至第三年免征企业所得税，第四年至第六年减半征收企业所得税。</w:t>
      </w:r>
    </w:p>
    <w:p>
      <w:pPr>
        <w:pStyle w:val="16"/>
        <w:keepNext w:val="0"/>
        <w:keepLines w:val="0"/>
        <w:pageBreakBefore w:val="0"/>
        <w:shd w:val="clear" w:color="auto" w:fill="FFFFFF"/>
        <w:wordWrap/>
        <w:overflowPunct/>
        <w:topLinePunct w:val="0"/>
        <w:bidi w:val="0"/>
        <w:snapToGrid/>
        <w:spacing w:line="360" w:lineRule="auto"/>
        <w:ind w:firstLine="640" w:firstLineChars="200"/>
        <w:jc w:val="both"/>
        <w:outlineLvl w:val="9"/>
        <w:rPr>
          <w:rFonts w:hint="default" w:ascii="仿宋_GB2312" w:eastAsia="仿宋_GB2312"/>
          <w:color w:val="auto"/>
          <w:sz w:val="32"/>
          <w:szCs w:val="32"/>
          <w:highlight w:val="none"/>
          <w:shd w:val="clear" w:color="auto" w:fill="FFFFFF"/>
        </w:rPr>
      </w:pPr>
      <w:r>
        <w:rPr>
          <w:rFonts w:hint="eastAsia" w:ascii="仿宋_GB2312" w:hAnsi="仿宋_GB2312" w:eastAsia="仿宋_GB2312" w:cs="仿宋_GB2312"/>
          <w:color w:val="auto"/>
          <w:kern w:val="2"/>
          <w:sz w:val="32"/>
          <w:szCs w:val="32"/>
          <w:highlight w:val="none"/>
          <w:lang w:val="en-US" w:eastAsia="zh-CN" w:bidi="ar"/>
        </w:rPr>
        <w:t>企业在2024年1月1日至2027年12月31日期间发生的专用设备数字化、智能化改造投入，不超过该专用设备购置时原计税基础50%的部分，可按照10%比例抵免企业当年应纳税额。企业当年应纳税额不足抵免的，可以向以后年度结转，但结转年限最长不得超过五年。</w:t>
      </w:r>
    </w:p>
    <w:p>
      <w:pPr>
        <w:pStyle w:val="16"/>
        <w:keepNext w:val="0"/>
        <w:keepLines w:val="0"/>
        <w:pageBreakBefore w:val="0"/>
        <w:shd w:val="clear" w:color="auto" w:fill="FFFFFF"/>
        <w:wordWrap/>
        <w:overflowPunct/>
        <w:topLinePunct w:val="0"/>
        <w:bidi w:val="0"/>
        <w:snapToGrid/>
        <w:spacing w:line="360" w:lineRule="auto"/>
        <w:ind w:firstLine="640" w:firstLineChars="200"/>
        <w:jc w:val="both"/>
        <w:outlineLvl w:val="9"/>
        <w:rPr>
          <w:rFonts w:hint="default" w:ascii="仿宋_GB2312" w:eastAsia="仿宋_GB2312"/>
          <w:color w:val="auto"/>
          <w:sz w:val="32"/>
          <w:szCs w:val="32"/>
          <w:highlight w:val="none"/>
          <w:shd w:val="clear" w:color="auto" w:fill="FFFFFF"/>
        </w:rPr>
      </w:pPr>
      <w:r>
        <w:rPr>
          <w:rFonts w:hint="eastAsia" w:ascii="仿宋_GB2312" w:eastAsia="仿宋_GB2312"/>
          <w:color w:val="auto"/>
          <w:sz w:val="32"/>
          <w:szCs w:val="32"/>
          <w:highlight w:val="none"/>
          <w:shd w:val="clear" w:color="auto" w:fill="FFFFFF"/>
          <w:lang w:val="en-US" w:eastAsia="zh-CN"/>
        </w:rPr>
        <w:t>2.</w:t>
      </w:r>
      <w:r>
        <w:rPr>
          <w:rFonts w:ascii="仿宋_GB2312" w:eastAsia="仿宋_GB2312"/>
          <w:color w:val="auto"/>
          <w:sz w:val="32"/>
          <w:szCs w:val="32"/>
          <w:highlight w:val="none"/>
          <w:shd w:val="clear" w:color="auto" w:fill="FFFFFF"/>
        </w:rPr>
        <w:t>综合利用资源生产政策</w:t>
      </w:r>
    </w:p>
    <w:p>
      <w:pPr>
        <w:pStyle w:val="16"/>
        <w:keepNext w:val="0"/>
        <w:keepLines w:val="0"/>
        <w:pageBreakBefore w:val="0"/>
        <w:shd w:val="clear" w:color="auto" w:fill="FFFFFF"/>
        <w:wordWrap/>
        <w:overflowPunct/>
        <w:topLinePunct w:val="0"/>
        <w:bidi w:val="0"/>
        <w:snapToGrid/>
        <w:spacing w:line="360" w:lineRule="auto"/>
        <w:ind w:firstLine="640" w:firstLineChars="200"/>
        <w:jc w:val="both"/>
        <w:outlineLvl w:val="9"/>
        <w:rPr>
          <w:rFonts w:hint="default" w:ascii="仿宋_GB2312" w:eastAsia="仿宋_GB2312"/>
          <w:color w:val="auto"/>
          <w:sz w:val="32"/>
          <w:szCs w:val="32"/>
          <w:highlight w:val="none"/>
          <w:shd w:val="clear" w:color="auto" w:fill="FFFFFF"/>
        </w:rPr>
      </w:pPr>
      <w:r>
        <w:rPr>
          <w:rFonts w:ascii="仿宋_GB2312" w:eastAsia="仿宋_GB2312"/>
          <w:color w:val="auto"/>
          <w:sz w:val="32"/>
          <w:szCs w:val="32"/>
          <w:highlight w:val="none"/>
          <w:shd w:val="clear" w:color="auto" w:fill="FFFFFF"/>
        </w:rPr>
        <w:t>企业自2008年1月1日起以《资源综合利用企业所得税优惠目录》中所列资源为主要原材料，生产国家非限制和禁止的符合国家和行业相关标准的产品取得的收入，在计算应纳税所得额时，减按90％计入当年收入总额。</w:t>
      </w:r>
    </w:p>
    <w:p>
      <w:pPr>
        <w:pStyle w:val="16"/>
        <w:keepNext w:val="0"/>
        <w:keepLines w:val="0"/>
        <w:pageBreakBefore w:val="0"/>
        <w:shd w:val="clear" w:color="auto" w:fill="FFFFFF"/>
        <w:kinsoku/>
        <w:wordWrap/>
        <w:overflowPunct/>
        <w:topLinePunct w:val="0"/>
        <w:autoSpaceDE/>
        <w:autoSpaceDN/>
        <w:bidi w:val="0"/>
        <w:snapToGrid/>
        <w:spacing w:before="0" w:beforeAutospacing="0" w:after="0" w:afterAutospacing="0"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val="en-US" w:eastAsia="zh-CN"/>
        </w:rPr>
      </w:pP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1.</w:t>
      </w:r>
      <w:r>
        <w:rPr>
          <w:rFonts w:hint="eastAsia" w:ascii="黑体" w:hAnsi="黑体" w:eastAsia="黑体" w:cs="黑体"/>
          <w:color w:val="auto"/>
          <w:sz w:val="32"/>
          <w:szCs w:val="32"/>
          <w:highlight w:val="none"/>
          <w:shd w:val="clear" w:color="auto" w:fill="FFFFFF"/>
        </w:rPr>
        <w:t>《中华人民共和国企业所得税法》</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2.</w:t>
      </w:r>
      <w:r>
        <w:rPr>
          <w:rFonts w:hint="eastAsia" w:ascii="黑体" w:hAnsi="黑体" w:eastAsia="黑体" w:cs="黑体"/>
          <w:color w:val="auto"/>
          <w:sz w:val="32"/>
          <w:szCs w:val="32"/>
          <w:highlight w:val="none"/>
          <w:shd w:val="clear" w:color="auto" w:fill="FFFFFF"/>
        </w:rPr>
        <w:t>《中华人民共和国企业所得税法实施条例》(中华人民共和国国务院令第512号)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3.</w:t>
      </w:r>
      <w:r>
        <w:rPr>
          <w:rFonts w:hint="eastAsia" w:ascii="黑体" w:hAnsi="黑体" w:eastAsia="黑体" w:cs="黑体"/>
          <w:color w:val="auto"/>
          <w:sz w:val="32"/>
          <w:szCs w:val="32"/>
          <w:highlight w:val="none"/>
          <w:shd w:val="clear" w:color="auto" w:fill="FFFFFF"/>
        </w:rPr>
        <w:t>《财政部　国家税务总局关于执行资源综合利用企业所得税优惠目录有关问题的通知》（财税〔2008〕47号）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4.</w:t>
      </w:r>
      <w:r>
        <w:rPr>
          <w:rFonts w:hint="eastAsia" w:ascii="黑体" w:hAnsi="黑体" w:eastAsia="黑体" w:cs="黑体"/>
          <w:color w:val="auto"/>
          <w:sz w:val="32"/>
          <w:szCs w:val="32"/>
          <w:highlight w:val="none"/>
          <w:shd w:val="clear" w:color="auto" w:fill="FFFFFF"/>
        </w:rPr>
        <w:t>《财政部等四部门关于公布&lt;环境保护、节能节水项目企业所得税优惠目录（2021年版）&gt;以及&lt;资源综合利用企业所得税优惠目录（2021年版）&gt;的公告》（财政部 税务总局 发展改革委 生态环境部公告2021年第36号）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5.</w:t>
      </w:r>
      <w:r>
        <w:rPr>
          <w:rFonts w:hint="eastAsia" w:ascii="黑体" w:hAnsi="黑体" w:eastAsia="黑体" w:cs="黑体"/>
          <w:color w:val="auto"/>
          <w:sz w:val="32"/>
          <w:szCs w:val="32"/>
          <w:highlight w:val="none"/>
          <w:shd w:val="clear" w:color="auto" w:fill="FFFFFF"/>
        </w:rPr>
        <w:t>《资源综合利用企业所得税优惠目录（2021年版）》</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6.</w:t>
      </w:r>
      <w:r>
        <w:rPr>
          <w:rFonts w:hint="eastAsia" w:ascii="黑体" w:hAnsi="黑体" w:eastAsia="黑体" w:cs="黑体"/>
          <w:color w:val="auto"/>
          <w:sz w:val="32"/>
          <w:szCs w:val="32"/>
          <w:highlight w:val="none"/>
          <w:shd w:val="clear" w:color="auto" w:fill="FFFFFF"/>
        </w:rPr>
        <w:t>《环境保护、节能节水项目企业所得税优惠目录（2021年版）》</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shd w:val="clear" w:color="auto" w:fill="FFFFFF"/>
          <w:lang w:val="en-US" w:eastAsia="zh-CN"/>
        </w:rPr>
        <w:t>7.</w:t>
      </w:r>
      <w:r>
        <w:rPr>
          <w:rFonts w:hint="eastAsia" w:ascii="黑体" w:hAnsi="黑体" w:eastAsia="黑体" w:cs="黑体"/>
          <w:color w:val="auto"/>
          <w:kern w:val="2"/>
          <w:sz w:val="32"/>
          <w:szCs w:val="32"/>
          <w:highlight w:val="none"/>
          <w:lang w:val="en-US" w:eastAsia="zh-CN" w:bidi="ar"/>
        </w:rPr>
        <w:t>《财政部 税务总局关于节能节水、环境保护、安全生产专用设备数字化智能化改造企业所得税政策的公告》(财政部 税务总局公告2024年第9号)</w:t>
      </w:r>
    </w:p>
    <w:p>
      <w:pPr>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lang w:val="en-US" w:eastAsia="zh-CN"/>
        </w:rPr>
      </w:pPr>
      <w:bookmarkStart w:id="259" w:name="_Toc18641"/>
      <w:bookmarkStart w:id="260" w:name="_Toc21459"/>
      <w:r>
        <w:rPr>
          <w:rFonts w:hint="eastAsia" w:ascii="仿宋_GB2312" w:hAnsi="Calibri" w:eastAsia="仿宋_GB2312" w:cs="Times New Roman"/>
          <w:b/>
          <w:bCs/>
          <w:color w:val="auto"/>
          <w:sz w:val="32"/>
          <w:szCs w:val="32"/>
          <w:highlight w:val="none"/>
          <w:lang w:val="en-US" w:eastAsia="zh-CN"/>
        </w:rPr>
        <w:t>（2）符合条件的从事污染防治的第三方企业减按15%税率征收企业所得税</w:t>
      </w:r>
      <w:bookmarkEnd w:id="259"/>
      <w:bookmarkEnd w:id="260"/>
    </w:p>
    <w:p>
      <w:pPr>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eastAsia="zh-CN"/>
        </w:rPr>
      </w:pPr>
      <w:r>
        <w:rPr>
          <w:rFonts w:hint="eastAsia" w:ascii="仿宋_GB2312" w:hAnsi="宋体" w:eastAsia="仿宋_GB2312" w:cs="Times New Roman"/>
          <w:color w:val="auto"/>
          <w:kern w:val="0"/>
          <w:sz w:val="32"/>
          <w:szCs w:val="32"/>
          <w:highlight w:val="none"/>
          <w:shd w:val="clear" w:color="auto" w:fill="FFFFFF"/>
          <w:lang w:val="en-US" w:eastAsia="zh-CN"/>
        </w:rPr>
        <w:t>符合条件的从事污染防治的第三方企业</w:t>
      </w:r>
    </w:p>
    <w:p>
      <w:pPr>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auto"/>
        </w:rPr>
      </w:pPr>
      <w:r>
        <w:rPr>
          <w:rFonts w:hint="eastAsia" w:ascii="仿宋_GB2312" w:hAnsi="宋体" w:eastAsia="仿宋_GB2312" w:cs="Times New Roman"/>
          <w:i w:val="0"/>
          <w:iCs w:val="0"/>
          <w:caps w:val="0"/>
          <w:color w:val="auto"/>
          <w:spacing w:val="0"/>
          <w:kern w:val="0"/>
          <w:sz w:val="32"/>
          <w:szCs w:val="32"/>
          <w:highlight w:val="none"/>
          <w:shd w:val="clear" w:color="auto" w:fill="auto"/>
        </w:rPr>
        <w:t>自2024年1月1日起至2027年12月31日止</w:t>
      </w:r>
      <w:r>
        <w:rPr>
          <w:rFonts w:hint="eastAsia" w:ascii="仿宋_GB2312" w:hAnsi="宋体" w:eastAsia="仿宋_GB2312" w:cs="Times New Roman"/>
          <w:i w:val="0"/>
          <w:iCs w:val="0"/>
          <w:caps w:val="0"/>
          <w:color w:val="auto"/>
          <w:spacing w:val="0"/>
          <w:kern w:val="0"/>
          <w:sz w:val="32"/>
          <w:szCs w:val="32"/>
          <w:highlight w:val="none"/>
          <w:shd w:val="clear" w:color="auto" w:fill="auto"/>
          <w:lang w:eastAsia="zh-CN"/>
        </w:rPr>
        <w:t>，</w:t>
      </w:r>
      <w:r>
        <w:rPr>
          <w:rFonts w:hint="eastAsia" w:ascii="仿宋_GB2312" w:hAnsi="宋体" w:eastAsia="仿宋_GB2312" w:cs="Times New Roman"/>
          <w:i w:val="0"/>
          <w:iCs w:val="0"/>
          <w:caps w:val="0"/>
          <w:color w:val="auto"/>
          <w:spacing w:val="0"/>
          <w:kern w:val="0"/>
          <w:sz w:val="32"/>
          <w:szCs w:val="32"/>
          <w:highlight w:val="none"/>
          <w:shd w:val="clear" w:color="auto" w:fill="auto"/>
        </w:rPr>
        <w:t>对符合条件的从事污染防治的第三方企业（以下称第三方防治企业）减按15%的税率征收企业所得税。</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仿宋_GB2312" w:hAnsi="宋体" w:eastAsia="仿宋_GB2312" w:cs="Times New Roman"/>
          <w:color w:val="auto"/>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auto"/>
        </w:rPr>
        <w:t>本公告所称第三方防治企业是指受排污企业或政府委托，负责环境污染治理设施（包括自动连续监测设施，下同）运营维护的企业。</w:t>
      </w:r>
    </w:p>
    <w:p>
      <w:pPr>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政策依据</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b w:val="0"/>
          <w:bCs w:val="0"/>
          <w:i w:val="0"/>
          <w:iCs w:val="0"/>
          <w:caps w:val="0"/>
          <w:color w:val="auto"/>
          <w:spacing w:val="0"/>
          <w:kern w:val="0"/>
          <w:sz w:val="32"/>
          <w:szCs w:val="32"/>
          <w:highlight w:val="none"/>
          <w:shd w:val="clear" w:color="auto" w:fill="FFFFFF"/>
          <w:lang w:eastAsia="zh-CN"/>
        </w:rPr>
      </w:pPr>
      <w:r>
        <w:rPr>
          <w:rFonts w:hint="eastAsia" w:ascii="黑体" w:hAnsi="黑体" w:eastAsia="黑体" w:cs="黑体"/>
          <w:b w:val="0"/>
          <w:bCs w:val="0"/>
          <w:i w:val="0"/>
          <w:iCs w:val="0"/>
          <w:caps w:val="0"/>
          <w:color w:val="auto"/>
          <w:spacing w:val="0"/>
          <w:kern w:val="0"/>
          <w:sz w:val="32"/>
          <w:szCs w:val="32"/>
          <w:highlight w:val="none"/>
          <w:shd w:val="clear" w:color="auto" w:fill="FFFFFF"/>
          <w:lang w:val="en-US" w:eastAsia="zh-CN"/>
        </w:rPr>
        <w:t>1.</w:t>
      </w:r>
      <w:r>
        <w:rPr>
          <w:rStyle w:val="20"/>
          <w:rFonts w:hint="eastAsia" w:ascii="黑体" w:hAnsi="黑体" w:eastAsia="黑体" w:cs="黑体"/>
          <w:b w:val="0"/>
          <w:bCs w:val="0"/>
          <w:i w:val="0"/>
          <w:iCs w:val="0"/>
          <w:caps w:val="0"/>
          <w:color w:val="auto"/>
          <w:spacing w:val="0"/>
          <w:kern w:val="0"/>
          <w:sz w:val="32"/>
          <w:szCs w:val="32"/>
          <w:highlight w:val="none"/>
          <w:shd w:val="clear" w:color="auto" w:fill="auto"/>
          <w:lang w:eastAsia="zh-CN"/>
        </w:rPr>
        <w:t>《</w:t>
      </w:r>
      <w:r>
        <w:rPr>
          <w:rStyle w:val="20"/>
          <w:rFonts w:hint="eastAsia" w:ascii="黑体" w:hAnsi="黑体" w:eastAsia="黑体" w:cs="黑体"/>
          <w:b w:val="0"/>
          <w:bCs w:val="0"/>
          <w:i w:val="0"/>
          <w:iCs w:val="0"/>
          <w:caps w:val="0"/>
          <w:color w:val="auto"/>
          <w:spacing w:val="0"/>
          <w:kern w:val="0"/>
          <w:sz w:val="32"/>
          <w:szCs w:val="32"/>
          <w:highlight w:val="none"/>
          <w:shd w:val="clear" w:color="auto" w:fill="auto"/>
        </w:rPr>
        <w:t>财政部 税务总局 国家发展改革委 生态环境部关于从事污染防治的第三方企业所得税政策问题的公告</w:t>
      </w:r>
      <w:r>
        <w:rPr>
          <w:rStyle w:val="20"/>
          <w:rFonts w:hint="eastAsia" w:ascii="黑体" w:hAnsi="黑体" w:eastAsia="黑体" w:cs="黑体"/>
          <w:b w:val="0"/>
          <w:bCs w:val="0"/>
          <w:i w:val="0"/>
          <w:iCs w:val="0"/>
          <w:caps w:val="0"/>
          <w:color w:val="auto"/>
          <w:spacing w:val="0"/>
          <w:kern w:val="0"/>
          <w:sz w:val="32"/>
          <w:szCs w:val="32"/>
          <w:highlight w:val="none"/>
          <w:shd w:val="clear" w:color="auto" w:fill="auto"/>
          <w:lang w:eastAsia="zh-CN"/>
        </w:rPr>
        <w:t>》（</w:t>
      </w:r>
      <w:r>
        <w:rPr>
          <w:rFonts w:hint="eastAsia" w:ascii="黑体" w:hAnsi="黑体" w:eastAsia="黑体" w:cs="黑体"/>
          <w:b w:val="0"/>
          <w:bCs w:val="0"/>
          <w:i w:val="0"/>
          <w:iCs w:val="0"/>
          <w:caps w:val="0"/>
          <w:color w:val="auto"/>
          <w:spacing w:val="0"/>
          <w:kern w:val="0"/>
          <w:sz w:val="32"/>
          <w:szCs w:val="32"/>
          <w:highlight w:val="none"/>
          <w:shd w:val="clear" w:color="auto" w:fill="auto"/>
        </w:rPr>
        <w:t>财政部 税务总局 国家发展改革委 生态环境部公告2023年第38号</w:t>
      </w:r>
      <w:r>
        <w:rPr>
          <w:rFonts w:hint="eastAsia" w:ascii="黑体" w:hAnsi="黑体" w:eastAsia="黑体" w:cs="黑体"/>
          <w:b w:val="0"/>
          <w:bCs w:val="0"/>
          <w:i w:val="0"/>
          <w:iCs w:val="0"/>
          <w:caps w:val="0"/>
          <w:color w:val="auto"/>
          <w:spacing w:val="0"/>
          <w:kern w:val="0"/>
          <w:sz w:val="32"/>
          <w:szCs w:val="32"/>
          <w:highlight w:val="none"/>
          <w:shd w:val="clear" w:color="auto" w:fill="auto"/>
          <w:lang w:eastAsia="zh-CN"/>
        </w:rPr>
        <w:t>）</w:t>
      </w:r>
    </w:p>
    <w:p>
      <w:pPr>
        <w:keepNext w:val="0"/>
        <w:keepLines w:val="0"/>
        <w:pageBreakBefore w:val="0"/>
        <w:widowControl w:val="0"/>
        <w:kinsoku/>
        <w:wordWrap/>
        <w:overflowPunct/>
        <w:topLinePunct w:val="0"/>
        <w:autoSpaceDE/>
        <w:autoSpaceDN/>
        <w:bidi w:val="0"/>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snapToGrid/>
        <w:spacing w:line="240" w:lineRule="auto"/>
        <w:jc w:val="left"/>
        <w:textAlignment w:val="auto"/>
        <w:outlineLvl w:val="3"/>
        <w:rPr>
          <w:rFonts w:hint="default" w:ascii="仿宋_GB2312" w:hAnsi="Calibri" w:eastAsia="仿宋_GB2312" w:cs="Times New Roman"/>
          <w:b/>
          <w:bCs/>
          <w:color w:val="auto"/>
          <w:sz w:val="32"/>
          <w:szCs w:val="32"/>
          <w:highlight w:val="none"/>
        </w:rPr>
      </w:pPr>
      <w:bookmarkStart w:id="261" w:name="_Toc27114"/>
      <w:bookmarkStart w:id="262" w:name="_Toc24415"/>
      <w:r>
        <w:rPr>
          <w:rFonts w:hint="eastAsia" w:ascii="仿宋_GB2312" w:hAnsi="Calibri" w:eastAsia="仿宋_GB2312" w:cs="Times New Roman"/>
          <w:b/>
          <w:bCs/>
          <w:color w:val="auto"/>
          <w:sz w:val="32"/>
          <w:szCs w:val="32"/>
          <w:highlight w:val="none"/>
          <w:lang w:val="en-US" w:eastAsia="zh-CN"/>
        </w:rPr>
        <w:t>（3）关于促进节能服务公司发展的税收优惠</w:t>
      </w:r>
      <w:bookmarkEnd w:id="261"/>
      <w:bookmarkEnd w:id="262"/>
    </w:p>
    <w:p>
      <w:pPr>
        <w:keepNext w:val="0"/>
        <w:keepLines w:val="0"/>
        <w:pageBreakBefore w:val="0"/>
        <w:shd w:val="clear" w:color="auto" w:fill="FFFFFF"/>
        <w:kinsoku/>
        <w:wordWrap/>
        <w:overflowPunct/>
        <w:topLinePunct w:val="0"/>
        <w:autoSpaceDE/>
        <w:autoSpaceDN/>
        <w:bidi w:val="0"/>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sz w:val="32"/>
          <w:szCs w:val="32"/>
          <w:highlight w:val="none"/>
          <w:shd w:val="clear" w:color="auto" w:fill="auto"/>
          <w:lang w:eastAsia="zh-CN"/>
        </w:rPr>
      </w:pPr>
      <w:r>
        <w:rPr>
          <w:rFonts w:hint="eastAsia" w:ascii="仿宋_GB2312" w:hAnsi="宋体" w:eastAsia="仿宋_GB2312" w:cs="Times New Roman"/>
          <w:i w:val="0"/>
          <w:iCs w:val="0"/>
          <w:caps w:val="0"/>
          <w:color w:val="auto"/>
          <w:spacing w:val="0"/>
          <w:sz w:val="32"/>
          <w:szCs w:val="32"/>
          <w:highlight w:val="none"/>
          <w:shd w:val="clear" w:color="auto" w:fill="auto"/>
          <w:lang w:eastAsia="zh-CN"/>
        </w:rPr>
        <w:t>实施符合条件的合同能源管理服务的节能服务公司</w:t>
      </w:r>
    </w:p>
    <w:p>
      <w:pPr>
        <w:keepNext w:val="0"/>
        <w:keepLines w:val="0"/>
        <w:pageBreakBefore w:val="0"/>
        <w:shd w:val="clear" w:color="auto" w:fill="FFFFFF"/>
        <w:kinsoku/>
        <w:wordWrap/>
        <w:overflowPunct/>
        <w:topLinePunct w:val="0"/>
        <w:autoSpaceDE/>
        <w:autoSpaceDN/>
        <w:bidi w:val="0"/>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line="360" w:lineRule="auto"/>
        <w:ind w:firstLine="640" w:firstLineChars="200"/>
        <w:jc w:val="both"/>
        <w:textAlignment w:val="auto"/>
        <w:outlineLvl w:val="9"/>
        <w:rPr>
          <w:rFonts w:hint="eastAsia" w:ascii="仿宋_GB2312" w:eastAsia="仿宋_GB2312" w:cs="Times New Roman"/>
          <w:color w:val="auto"/>
          <w:sz w:val="32"/>
          <w:szCs w:val="32"/>
          <w:highlight w:val="none"/>
          <w:shd w:val="clear" w:color="auto" w:fill="FFFFFF"/>
        </w:rPr>
      </w:pPr>
      <w:r>
        <w:rPr>
          <w:rFonts w:hint="eastAsia" w:ascii="仿宋_GB2312" w:eastAsia="仿宋_GB2312" w:cs="Times New Roman"/>
          <w:color w:val="auto"/>
          <w:sz w:val="32"/>
          <w:szCs w:val="32"/>
          <w:highlight w:val="none"/>
          <w:shd w:val="clear" w:color="auto" w:fill="FFFFFF"/>
        </w:rPr>
        <w:t>节能服务公司实施符合条件的合同能源管理项目，将项目中的增值税应税货物转让给用能企业，暂免征收增值税；节能服务公司提供的符合条件的合同能源管理服务免征收增值税。</w:t>
      </w:r>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bookmarkStart w:id="263" w:name="_Toc23743"/>
      <w:r>
        <w:rPr>
          <w:rFonts w:hint="eastAsia" w:asciiTheme="minorEastAsia" w:hAnsiTheme="minorEastAsia" w:eastAsiaTheme="minorEastAsia" w:cstheme="minorEastAsia"/>
          <w:bCs/>
          <w:color w:val="auto"/>
          <w:sz w:val="32"/>
          <w:szCs w:val="32"/>
          <w:highlight w:val="none"/>
          <w:shd w:val="clear" w:color="auto" w:fill="FFFFFF"/>
        </w:rPr>
        <w:t>【政策依据】</w:t>
      </w:r>
      <w:bookmarkEnd w:id="263"/>
    </w:p>
    <w:p>
      <w:pPr>
        <w:pStyle w:val="16"/>
        <w:keepNext w:val="0"/>
        <w:keepLines w:val="0"/>
        <w:pageBreakBefore w:val="0"/>
        <w:shd w:val="clear" w:color="auto" w:fill="FFFFFF"/>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lang w:eastAsia="zh-CN"/>
        </w:rPr>
      </w:pPr>
      <w:r>
        <w:rPr>
          <w:rFonts w:hint="eastAsia" w:ascii="黑体" w:hAnsi="黑体" w:eastAsia="黑体" w:cs="黑体"/>
          <w:color w:val="auto"/>
          <w:sz w:val="32"/>
          <w:szCs w:val="32"/>
          <w:highlight w:val="none"/>
          <w:shd w:val="clear" w:color="auto" w:fill="FFFFFF"/>
          <w:lang w:val="en-US" w:eastAsia="zh-CN"/>
        </w:rPr>
        <w:t>1.</w:t>
      </w:r>
      <w:r>
        <w:rPr>
          <w:rFonts w:hint="eastAsia" w:ascii="黑体" w:hAnsi="黑体" w:eastAsia="黑体" w:cs="黑体"/>
          <w:color w:val="auto"/>
          <w:sz w:val="32"/>
          <w:szCs w:val="32"/>
          <w:highlight w:val="none"/>
          <w:shd w:val="clear" w:color="auto" w:fill="FFFFFF"/>
        </w:rPr>
        <w:t>《财政部　国家税务总局关于促进节能服务产业发展增值税、营业税和企业所得税政策问题的通知》</w:t>
      </w:r>
      <w:r>
        <w:rPr>
          <w:rFonts w:hint="eastAsia" w:ascii="黑体" w:hAnsi="黑体" w:eastAsia="黑体" w:cs="黑体"/>
          <w:color w:val="auto"/>
          <w:sz w:val="32"/>
          <w:szCs w:val="32"/>
          <w:highlight w:val="none"/>
          <w:shd w:val="clear" w:color="auto" w:fill="FFFFFF"/>
          <w:lang w:eastAsia="zh-CN"/>
        </w:rPr>
        <w:t>（财税〔201</w:t>
      </w:r>
      <w:r>
        <w:rPr>
          <w:rFonts w:hint="eastAsia" w:ascii="黑体" w:hAnsi="黑体" w:eastAsia="黑体" w:cs="黑体"/>
          <w:color w:val="auto"/>
          <w:sz w:val="32"/>
          <w:szCs w:val="32"/>
          <w:highlight w:val="none"/>
          <w:shd w:val="clear" w:color="auto" w:fill="FFFFFF"/>
          <w:lang w:val="en-US" w:eastAsia="zh-CN"/>
        </w:rPr>
        <w:t>0</w:t>
      </w:r>
      <w:r>
        <w:rPr>
          <w:rFonts w:hint="eastAsia" w:ascii="黑体" w:hAnsi="黑体" w:eastAsia="黑体" w:cs="黑体"/>
          <w:color w:val="auto"/>
          <w:sz w:val="32"/>
          <w:szCs w:val="32"/>
          <w:highlight w:val="none"/>
          <w:shd w:val="clear" w:color="auto" w:fill="FFFFFF"/>
          <w:lang w:eastAsia="zh-CN"/>
        </w:rPr>
        <w:t>〕1</w:t>
      </w:r>
      <w:r>
        <w:rPr>
          <w:rFonts w:hint="eastAsia" w:ascii="黑体" w:hAnsi="黑体" w:eastAsia="黑体" w:cs="黑体"/>
          <w:color w:val="auto"/>
          <w:sz w:val="32"/>
          <w:szCs w:val="32"/>
          <w:highlight w:val="none"/>
          <w:shd w:val="clear" w:color="auto" w:fill="FFFFFF"/>
          <w:lang w:val="en-US" w:eastAsia="zh-CN"/>
        </w:rPr>
        <w:t>10</w:t>
      </w:r>
      <w:r>
        <w:rPr>
          <w:rFonts w:hint="eastAsia" w:ascii="黑体" w:hAnsi="黑体" w:eastAsia="黑体" w:cs="黑体"/>
          <w:color w:val="auto"/>
          <w:sz w:val="32"/>
          <w:szCs w:val="32"/>
          <w:highlight w:val="none"/>
          <w:shd w:val="clear" w:color="auto" w:fill="FFFFFF"/>
          <w:lang w:eastAsia="zh-CN"/>
        </w:rPr>
        <w:t>号）</w:t>
      </w:r>
    </w:p>
    <w:p>
      <w:pPr>
        <w:pStyle w:val="16"/>
        <w:keepNext w:val="0"/>
        <w:keepLines w:val="0"/>
        <w:pageBreakBefore w:val="0"/>
        <w:shd w:val="clear" w:color="auto" w:fill="FFFFFF"/>
        <w:kinsoku/>
        <w:wordWrap/>
        <w:overflowPunct/>
        <w:topLinePunct w:val="0"/>
        <w:autoSpaceDE/>
        <w:autoSpaceDN/>
        <w:bidi w:val="0"/>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lang w:eastAsia="zh-CN"/>
        </w:rPr>
      </w:pPr>
      <w:r>
        <w:rPr>
          <w:rFonts w:hint="eastAsia" w:ascii="黑体" w:hAnsi="黑体" w:eastAsia="黑体" w:cs="黑体"/>
          <w:color w:val="auto"/>
          <w:sz w:val="32"/>
          <w:szCs w:val="32"/>
          <w:highlight w:val="none"/>
          <w:shd w:val="clear" w:color="auto" w:fill="FFFFFF"/>
          <w:lang w:val="en-US" w:eastAsia="zh-CN"/>
        </w:rPr>
        <w:t>2.</w:t>
      </w:r>
      <w:r>
        <w:rPr>
          <w:rFonts w:hint="eastAsia" w:ascii="黑体" w:hAnsi="黑体" w:eastAsia="黑体" w:cs="黑体"/>
          <w:color w:val="auto"/>
          <w:sz w:val="32"/>
          <w:szCs w:val="32"/>
          <w:highlight w:val="none"/>
          <w:shd w:val="clear" w:color="auto" w:fill="FFFFFF"/>
        </w:rPr>
        <w:t>《财政部 国家税务总局关于全面推开营业税改征增值税试点的通知》</w:t>
      </w:r>
      <w:r>
        <w:rPr>
          <w:rFonts w:hint="eastAsia" w:ascii="黑体" w:hAnsi="黑体" w:eastAsia="黑体" w:cs="黑体"/>
          <w:color w:val="auto"/>
          <w:sz w:val="32"/>
          <w:szCs w:val="32"/>
          <w:highlight w:val="none"/>
          <w:shd w:val="clear" w:color="auto" w:fill="FFFFFF"/>
          <w:lang w:eastAsia="zh-CN"/>
        </w:rPr>
        <w:t>（财税〔2016〕36号）</w:t>
      </w:r>
    </w:p>
    <w:p>
      <w:pPr>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_GB2312" w:hAnsi="Calibri" w:eastAsia="仿宋_GB2312" w:cs="Times New Roman"/>
          <w:b/>
          <w:bCs/>
          <w:color w:val="auto"/>
          <w:kern w:val="2"/>
          <w:sz w:val="32"/>
          <w:szCs w:val="32"/>
          <w:highlight w:val="none"/>
          <w:shd w:val="clear" w:color="auto" w:fill="auto"/>
          <w:lang w:val="en-US" w:eastAsia="zh-CN"/>
        </w:rPr>
      </w:pPr>
    </w:p>
    <w:p>
      <w:pPr>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rPr>
      </w:pPr>
      <w:bookmarkStart w:id="264" w:name="_Toc21059"/>
      <w:bookmarkStart w:id="265" w:name="_Toc9134"/>
      <w:r>
        <w:rPr>
          <w:rFonts w:hint="eastAsia" w:ascii="仿宋_GB2312" w:hAnsi="Calibri" w:eastAsia="仿宋_GB2312" w:cs="Times New Roman"/>
          <w:b/>
          <w:bCs/>
          <w:color w:val="auto"/>
          <w:kern w:val="2"/>
          <w:sz w:val="32"/>
          <w:szCs w:val="32"/>
          <w:highlight w:val="none"/>
          <w:shd w:val="clear" w:color="auto" w:fill="auto"/>
          <w:lang w:val="en-US" w:eastAsia="zh-CN"/>
        </w:rPr>
        <w:t>（4）</w:t>
      </w:r>
      <w:r>
        <w:rPr>
          <w:rFonts w:hint="eastAsia" w:ascii="仿宋_GB2312" w:hAnsi="Calibri" w:eastAsia="仿宋_GB2312" w:cs="Times New Roman"/>
          <w:b/>
          <w:bCs/>
          <w:color w:val="auto"/>
          <w:sz w:val="32"/>
          <w:szCs w:val="32"/>
          <w:highlight w:val="none"/>
        </w:rPr>
        <w:t>节能环保电池、涂料免征消费税政策</w:t>
      </w:r>
      <w:bookmarkEnd w:id="264"/>
      <w:bookmarkEnd w:id="265"/>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bookmarkStart w:id="266" w:name="_Toc5755"/>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textAlignment w:val="auto"/>
        <w:outlineLvl w:val="9"/>
        <w:rPr>
          <w:rFonts w:hint="default" w:ascii="仿宋_GB2312" w:hAnsi="宋体" w:eastAsia="仿宋_GB2312" w:cs="Times New Roman"/>
          <w:i w:val="0"/>
          <w:iCs w:val="0"/>
          <w:caps w:val="0"/>
          <w:color w:val="auto"/>
          <w:spacing w:val="0"/>
          <w:kern w:val="0"/>
          <w:sz w:val="32"/>
          <w:szCs w:val="32"/>
          <w:highlight w:val="none"/>
          <w:shd w:val="clear" w:color="auto" w:fill="auto"/>
          <w:lang w:val="en-US"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auto"/>
        </w:rPr>
        <w:t>电池、涂料</w:t>
      </w:r>
      <w:r>
        <w:rPr>
          <w:rFonts w:hint="default" w:ascii="仿宋_GB2312" w:hAnsi="宋体" w:eastAsia="仿宋_GB2312" w:cs="Times New Roman"/>
          <w:i w:val="0"/>
          <w:iCs w:val="0"/>
          <w:caps w:val="0"/>
          <w:color w:val="auto"/>
          <w:spacing w:val="0"/>
          <w:kern w:val="0"/>
          <w:sz w:val="32"/>
          <w:szCs w:val="32"/>
          <w:highlight w:val="none"/>
          <w:shd w:val="clear" w:color="auto" w:fill="auto"/>
          <w:lang w:val="en-US" w:eastAsia="zh-CN"/>
        </w:rPr>
        <w:t>的</w:t>
      </w:r>
      <w:r>
        <w:rPr>
          <w:rFonts w:hint="eastAsia" w:ascii="仿宋_GB2312" w:hAnsi="宋体" w:eastAsia="仿宋_GB2312" w:cs="Times New Roman"/>
          <w:i w:val="0"/>
          <w:iCs w:val="0"/>
          <w:caps w:val="0"/>
          <w:color w:val="auto"/>
          <w:spacing w:val="0"/>
          <w:kern w:val="0"/>
          <w:sz w:val="32"/>
          <w:szCs w:val="32"/>
          <w:highlight w:val="none"/>
          <w:shd w:val="clear" w:color="auto" w:fill="auto"/>
        </w:rPr>
        <w:t>生产、委托加工和进口环节</w:t>
      </w:r>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shd w:val="clear" w:color="auto" w:fill="FFFFFF"/>
        <w:kinsoku/>
        <w:wordWrap/>
        <w:overflowPunct/>
        <w:topLinePunct w:val="0"/>
        <w:autoSpaceDE/>
        <w:autoSpaceDN/>
        <w:bidi w:val="0"/>
        <w:snapToGrid/>
        <w:spacing w:line="360" w:lineRule="auto"/>
        <w:ind w:firstLine="640" w:firstLineChars="200"/>
        <w:jc w:val="both"/>
        <w:textAlignment w:val="auto"/>
        <w:outlineLvl w:val="9"/>
        <w:rPr>
          <w:rFonts w:hint="eastAsia" w:ascii="仿宋_GB2312" w:eastAsia="仿宋_GB2312" w:cs="Times New Roman"/>
          <w:color w:val="auto"/>
          <w:sz w:val="32"/>
          <w:szCs w:val="32"/>
          <w:highlight w:val="none"/>
          <w:shd w:val="clear" w:color="auto" w:fill="FFFFFF"/>
        </w:rPr>
      </w:pPr>
      <w:r>
        <w:rPr>
          <w:rFonts w:hint="eastAsia" w:ascii="仿宋_GB2312" w:eastAsia="仿宋_GB2312" w:cs="Times New Roman"/>
          <w:color w:val="auto"/>
          <w:sz w:val="32"/>
          <w:szCs w:val="32"/>
          <w:highlight w:val="none"/>
          <w:shd w:val="clear" w:color="auto" w:fill="FFFFFF"/>
        </w:rPr>
        <w:t>对无汞原电池、金属氢化物镍蓄电池(又称“氢镍蓄电池”或“镍氢蓄电池”)、锂原电池、锂离子蓄电池、太阳能电池、燃料电池和全钒液流电池免征消费税。</w:t>
      </w:r>
    </w:p>
    <w:p>
      <w:pPr>
        <w:pStyle w:val="16"/>
        <w:keepNext w:val="0"/>
        <w:keepLines w:val="0"/>
        <w:pageBreakBefore w:val="0"/>
        <w:widowControl/>
        <w:shd w:val="clear" w:color="auto" w:fill="FFFFFF"/>
        <w:kinsoku/>
        <w:wordWrap/>
        <w:overflowPunct/>
        <w:topLinePunct w:val="0"/>
        <w:autoSpaceDE/>
        <w:autoSpaceDN/>
        <w:bidi w:val="0"/>
        <w:snapToGrid/>
        <w:spacing w:line="360" w:lineRule="auto"/>
        <w:ind w:firstLine="640" w:firstLineChars="200"/>
        <w:textAlignment w:val="auto"/>
        <w:outlineLvl w:val="9"/>
        <w:rPr>
          <w:rFonts w:hint="eastAsia" w:ascii="仿宋_GB2312" w:hAnsi="宋体" w:eastAsia="仿宋_GB2312" w:cs="Times New Roman"/>
          <w:bCs w:val="0"/>
          <w:color w:val="auto"/>
          <w:sz w:val="32"/>
          <w:szCs w:val="32"/>
          <w:highlight w:val="none"/>
          <w:shd w:val="clear" w:color="auto" w:fill="FFFFFF"/>
          <w:lang w:eastAsia="zh-CN"/>
        </w:rPr>
      </w:pPr>
      <w:r>
        <w:rPr>
          <w:rFonts w:hint="eastAsia" w:ascii="仿宋_GB2312" w:eastAsia="仿宋_GB2312" w:cs="Times New Roman"/>
          <w:color w:val="auto"/>
          <w:sz w:val="32"/>
          <w:szCs w:val="32"/>
          <w:highlight w:val="none"/>
          <w:shd w:val="clear" w:color="auto" w:fill="FFFFFF"/>
        </w:rPr>
        <w:t>对施工状态下挥发性有机物(Volatile Organic Compounds,VOC)含量低于420克/升(含)的涂料免征消费税。</w:t>
      </w:r>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rPr>
        <w:t>【政策依据】</w:t>
      </w:r>
      <w:bookmarkEnd w:id="266"/>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eastAsia="zh-CN"/>
        </w:rPr>
      </w:pPr>
      <w:r>
        <w:rPr>
          <w:rFonts w:hint="eastAsia" w:ascii="黑体" w:hAnsi="黑体" w:eastAsia="黑体" w:cs="黑体"/>
          <w:color w:val="auto"/>
          <w:sz w:val="32"/>
          <w:szCs w:val="32"/>
          <w:highlight w:val="none"/>
          <w:shd w:val="clear" w:color="auto" w:fill="FFFFFF"/>
          <w:lang w:eastAsia="zh-CN"/>
        </w:rPr>
        <w:t>1</w:t>
      </w:r>
      <w:r>
        <w:rPr>
          <w:rFonts w:hint="eastAsia" w:ascii="黑体" w:hAnsi="黑体" w:eastAsia="黑体" w:cs="黑体"/>
          <w:color w:val="auto"/>
          <w:sz w:val="32"/>
          <w:szCs w:val="32"/>
          <w:highlight w:val="none"/>
          <w:shd w:val="clear" w:color="auto" w:fill="FFFFFF"/>
          <w:lang w:val="en-US" w:eastAsia="zh-CN"/>
        </w:rPr>
        <w:t>.</w:t>
      </w:r>
      <w:r>
        <w:rPr>
          <w:rFonts w:hint="eastAsia" w:ascii="黑体" w:hAnsi="黑体" w:eastAsia="黑体" w:cs="黑体"/>
          <w:color w:val="auto"/>
          <w:sz w:val="32"/>
          <w:szCs w:val="32"/>
          <w:highlight w:val="none"/>
          <w:shd w:val="clear" w:color="auto" w:fill="FFFFFF"/>
        </w:rPr>
        <w:t>《财政部 国家税务总局关于对电池 涂料征收消费税的通知》</w:t>
      </w:r>
      <w:r>
        <w:rPr>
          <w:rFonts w:hint="eastAsia" w:ascii="黑体" w:hAnsi="黑体" w:eastAsia="黑体" w:cs="黑体"/>
          <w:color w:val="auto"/>
          <w:sz w:val="32"/>
          <w:szCs w:val="32"/>
          <w:highlight w:val="none"/>
          <w:shd w:val="clear" w:color="auto" w:fill="FFFFFF"/>
          <w:lang w:eastAsia="zh-CN"/>
        </w:rPr>
        <w:t>（财税〔2015〕16号）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kern w:val="0"/>
          <w:sz w:val="32"/>
          <w:szCs w:val="32"/>
          <w:highlight w:val="none"/>
          <w:shd w:val="clear" w:color="auto" w:fill="FFFFFF"/>
          <w:lang w:eastAsia="zh-CN"/>
        </w:rPr>
      </w:pPr>
    </w:p>
    <w:p>
      <w:pPr>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rPr>
      </w:pPr>
      <w:bookmarkStart w:id="267" w:name="_Toc26684"/>
      <w:r>
        <w:rPr>
          <w:rFonts w:hint="eastAsia" w:ascii="仿宋_GB2312" w:hAnsi="Calibri" w:eastAsia="仿宋_GB2312" w:cs="Times New Roman"/>
          <w:b/>
          <w:bCs/>
          <w:color w:val="auto"/>
          <w:kern w:val="2"/>
          <w:sz w:val="32"/>
          <w:szCs w:val="32"/>
          <w:highlight w:val="none"/>
          <w:shd w:val="clear" w:color="auto" w:fill="auto"/>
          <w:lang w:val="en-US" w:eastAsia="zh-CN"/>
        </w:rPr>
        <w:t>（</w:t>
      </w:r>
      <w:r>
        <w:rPr>
          <w:rFonts w:hint="eastAsia" w:ascii="仿宋_GB2312" w:eastAsia="仿宋_GB2312" w:cs="Times New Roman"/>
          <w:b/>
          <w:bCs/>
          <w:color w:val="auto"/>
          <w:kern w:val="2"/>
          <w:sz w:val="32"/>
          <w:szCs w:val="32"/>
          <w:highlight w:val="none"/>
          <w:shd w:val="clear" w:color="auto" w:fill="auto"/>
          <w:lang w:val="en-US" w:eastAsia="zh-CN"/>
        </w:rPr>
        <w:t>5</w:t>
      </w:r>
      <w:r>
        <w:rPr>
          <w:rFonts w:hint="eastAsia" w:ascii="仿宋_GB2312" w:hAnsi="Calibri" w:eastAsia="仿宋_GB2312" w:cs="Times New Roman"/>
          <w:b/>
          <w:bCs/>
          <w:color w:val="auto"/>
          <w:kern w:val="2"/>
          <w:sz w:val="32"/>
          <w:szCs w:val="32"/>
          <w:highlight w:val="none"/>
          <w:shd w:val="clear" w:color="auto" w:fill="auto"/>
          <w:lang w:val="en-US" w:eastAsia="zh-CN"/>
        </w:rPr>
        <w:t>）低浓度排放减征环境保护税政策</w:t>
      </w:r>
      <w:bookmarkEnd w:id="267"/>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适用主体</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textAlignment w:val="auto"/>
        <w:outlineLvl w:val="9"/>
        <w:rPr>
          <w:rFonts w:hint="default" w:ascii="仿宋_GB2312" w:hAnsi="宋体" w:eastAsia="仿宋_GB2312" w:cs="Times New Roman"/>
          <w:i w:val="0"/>
          <w:iCs w:val="0"/>
          <w:caps w:val="0"/>
          <w:color w:val="auto"/>
          <w:spacing w:val="0"/>
          <w:kern w:val="0"/>
          <w:sz w:val="32"/>
          <w:szCs w:val="32"/>
          <w:highlight w:val="none"/>
          <w:shd w:val="clear" w:color="auto" w:fill="auto"/>
          <w:lang w:val="en-US" w:eastAsia="zh-CN"/>
        </w:rPr>
      </w:pPr>
      <w:r>
        <w:rPr>
          <w:rFonts w:hint="eastAsia" w:ascii="仿宋_GB2312" w:hAnsi="仿宋_GB2312" w:eastAsia="仿宋_GB2312" w:cs="仿宋_GB2312"/>
          <w:kern w:val="2"/>
          <w:sz w:val="32"/>
          <w:szCs w:val="40"/>
          <w:highlight w:val="none"/>
          <w:lang w:val="en-US" w:eastAsia="zh-CN" w:bidi="ar"/>
        </w:rPr>
        <w:t>符合条件的环境保护税纳税人</w:t>
      </w:r>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w:t>
      </w:r>
      <w:r>
        <w:rPr>
          <w:rFonts w:hint="eastAsia" w:asciiTheme="minorEastAsia" w:hAnsiTheme="minorEastAsia" w:eastAsiaTheme="minorEastAsia" w:cstheme="minorEastAsia"/>
          <w:bCs/>
          <w:color w:val="auto"/>
          <w:sz w:val="32"/>
          <w:szCs w:val="32"/>
          <w:highlight w:val="none"/>
          <w:shd w:val="clear" w:color="auto" w:fill="FFFFFF"/>
          <w:lang w:val="en-US" w:eastAsia="zh-CN"/>
        </w:rPr>
        <w:t>政策规定</w:t>
      </w:r>
      <w:r>
        <w:rPr>
          <w:rFonts w:hint="eastAsia" w:asciiTheme="minorEastAsia" w:hAnsiTheme="minorEastAsia" w:eastAsiaTheme="minorEastAsia" w:cstheme="minorEastAsia"/>
          <w:bCs/>
          <w:color w:val="auto"/>
          <w:sz w:val="32"/>
          <w:szCs w:val="32"/>
          <w:highlight w:val="none"/>
          <w:shd w:val="clear" w:color="auto" w:fill="FFFFFF"/>
          <w:lang w:eastAsia="zh-CN"/>
        </w:rPr>
        <w:t>】</w:t>
      </w:r>
    </w:p>
    <w:p>
      <w:pPr>
        <w:pStyle w:val="16"/>
        <w:keepNext w:val="0"/>
        <w:keepLines w:val="0"/>
        <w:pageBreakBefore w:val="0"/>
        <w:widowControl/>
        <w:shd w:val="clear" w:color="auto" w:fill="FFFFFF"/>
        <w:kinsoku/>
        <w:wordWrap/>
        <w:overflowPunct/>
        <w:topLinePunct w:val="0"/>
        <w:autoSpaceDE/>
        <w:autoSpaceDN/>
        <w:bidi w:val="0"/>
        <w:snapToGrid/>
        <w:spacing w:line="360" w:lineRule="auto"/>
        <w:ind w:firstLine="640" w:firstLineChars="200"/>
        <w:textAlignment w:val="auto"/>
        <w:outlineLvl w:val="9"/>
        <w:rPr>
          <w:rFonts w:hint="eastAsia" w:ascii="仿宋_GB2312" w:eastAsia="仿宋_GB2312" w:cs="Times New Roman"/>
          <w:color w:val="auto"/>
          <w:sz w:val="32"/>
          <w:szCs w:val="32"/>
          <w:highlight w:val="none"/>
          <w:shd w:val="clear" w:color="auto" w:fill="FFFFFF"/>
          <w:lang w:eastAsia="zh-CN"/>
        </w:rPr>
      </w:pPr>
      <w:r>
        <w:rPr>
          <w:rFonts w:hint="eastAsia" w:ascii="仿宋_GB2312" w:eastAsia="仿宋_GB2312" w:cs="Times New Roman"/>
          <w:color w:val="auto"/>
          <w:sz w:val="32"/>
          <w:szCs w:val="32"/>
          <w:highlight w:val="none"/>
          <w:shd w:val="clear" w:color="auto" w:fill="FFFFFF"/>
          <w:lang w:eastAsia="zh-CN"/>
        </w:rPr>
        <w:t>纳税人排放应税大气污染物或者水污染物的浓度值低于国家和地方规定的污染物排放标准百分之三十的，减按百分之七十五征收环境保护税。纳税人排放应税大气污染物或者水污染物的浓度值低于国家和地方规定的污染物排放标准百分之五十的，减按百分之五十征收环境保护税。</w:t>
      </w:r>
    </w:p>
    <w:p>
      <w:pPr>
        <w:keepNext w:val="0"/>
        <w:keepLines w:val="0"/>
        <w:pageBreakBefore w:val="0"/>
        <w:widowControl/>
        <w:shd w:val="clear" w:color="auto" w:fill="FFFFFF"/>
        <w:kinsoku/>
        <w:wordWrap/>
        <w:overflowPunct/>
        <w:topLinePunct w:val="0"/>
        <w:autoSpaceDE/>
        <w:autoSpaceDN/>
        <w:bidi w:val="0"/>
        <w:snapToGrid/>
        <w:spacing w:line="360" w:lineRule="auto"/>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eastAsia="zh-CN"/>
        </w:rPr>
      </w:pPr>
      <w:r>
        <w:rPr>
          <w:rFonts w:hint="eastAsia" w:ascii="黑体" w:hAnsi="黑体" w:eastAsia="黑体" w:cs="黑体"/>
          <w:color w:val="auto"/>
          <w:sz w:val="32"/>
          <w:szCs w:val="32"/>
          <w:highlight w:val="none"/>
          <w:shd w:val="clear" w:color="auto" w:fill="FFFFFF"/>
          <w:lang w:eastAsia="zh-CN"/>
        </w:rPr>
        <w:t>1</w:t>
      </w:r>
      <w:r>
        <w:rPr>
          <w:rFonts w:hint="eastAsia" w:ascii="黑体" w:hAnsi="黑体" w:eastAsia="黑体" w:cs="黑体"/>
          <w:color w:val="auto"/>
          <w:sz w:val="32"/>
          <w:szCs w:val="32"/>
          <w:highlight w:val="none"/>
          <w:shd w:val="clear" w:color="auto" w:fill="FFFFFF"/>
          <w:lang w:val="en-US" w:eastAsia="zh-CN"/>
        </w:rPr>
        <w:t>.</w:t>
      </w:r>
      <w:r>
        <w:rPr>
          <w:rFonts w:hint="eastAsia" w:ascii="黑体" w:hAnsi="黑体" w:eastAsia="黑体" w:cs="黑体"/>
          <w:color w:val="auto"/>
          <w:sz w:val="32"/>
          <w:szCs w:val="32"/>
          <w:highlight w:val="none"/>
          <w:shd w:val="clear" w:color="auto" w:fill="FFFFFF"/>
        </w:rPr>
        <w:t>《中华人民共和国环境保护税法》</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kern w:val="0"/>
          <w:sz w:val="32"/>
          <w:szCs w:val="32"/>
          <w:highlight w:val="none"/>
          <w:shd w:val="clear" w:color="auto" w:fill="FFFFFF"/>
          <w:lang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268" w:name="_Toc32473"/>
      <w:bookmarkStart w:id="269" w:name="_Toc25460"/>
      <w:r>
        <w:rPr>
          <w:rFonts w:hint="eastAsia" w:ascii="楷体_GB2312" w:hAnsi="楷体_GB2312" w:eastAsia="楷体_GB2312" w:cs="楷体_GB2312"/>
          <w:color w:val="auto"/>
          <w:sz w:val="32"/>
          <w:szCs w:val="32"/>
          <w:highlight w:val="none"/>
          <w:lang w:val="en-US" w:eastAsia="zh-CN"/>
        </w:rPr>
        <w:t>（四）撤资清算阶段</w:t>
      </w:r>
      <w:bookmarkEnd w:id="268"/>
      <w:bookmarkEnd w:id="269"/>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eastAsia="zh-CN"/>
        </w:rPr>
      </w:pPr>
      <w:bookmarkStart w:id="270" w:name="_Toc6682"/>
      <w:bookmarkStart w:id="271" w:name="_Toc25450"/>
      <w:bookmarkStart w:id="272" w:name="_Toc24829"/>
      <w:bookmarkStart w:id="273" w:name="_Toc25769"/>
      <w:bookmarkStart w:id="274" w:name="_Toc85394001"/>
      <w:bookmarkStart w:id="275" w:name="_Toc12499"/>
      <w:bookmarkStart w:id="276" w:name="_Toc27037"/>
      <w:bookmarkStart w:id="277" w:name="_Toc18262"/>
      <w:bookmarkStart w:id="278" w:name="_Toc31701"/>
      <w:bookmarkStart w:id="279" w:name="_Toc7743"/>
      <w:r>
        <w:rPr>
          <w:rFonts w:hint="eastAsia" w:ascii="仿宋_GB2312" w:hAnsi="仿宋_GB2312" w:eastAsia="仿宋_GB2312" w:cs="仿宋_GB2312"/>
          <w:b/>
          <w:bCs/>
          <w:color w:val="auto"/>
          <w:sz w:val="32"/>
          <w:szCs w:val="32"/>
          <w:highlight w:val="none"/>
          <w:lang w:val="en-US" w:eastAsia="zh-CN"/>
        </w:rPr>
        <w:t>1.境外投资者</w:t>
      </w:r>
      <w:r>
        <w:rPr>
          <w:rFonts w:hint="eastAsia" w:ascii="仿宋_GB2312" w:hAnsi="仿宋_GB2312" w:eastAsia="仿宋_GB2312" w:cs="仿宋_GB2312"/>
          <w:b/>
          <w:bCs/>
          <w:color w:val="auto"/>
          <w:sz w:val="32"/>
          <w:szCs w:val="32"/>
          <w:highlight w:val="none"/>
        </w:rPr>
        <w:t>股权转让</w:t>
      </w:r>
      <w:bookmarkEnd w:id="270"/>
      <w:bookmarkEnd w:id="271"/>
      <w:bookmarkEnd w:id="272"/>
      <w:bookmarkEnd w:id="273"/>
      <w:bookmarkEnd w:id="274"/>
      <w:bookmarkEnd w:id="275"/>
      <w:r>
        <w:rPr>
          <w:rFonts w:hint="eastAsia" w:ascii="仿宋_GB2312" w:hAnsi="仿宋_GB2312" w:eastAsia="仿宋_GB2312" w:cs="仿宋_GB2312"/>
          <w:b/>
          <w:bCs/>
          <w:color w:val="auto"/>
          <w:sz w:val="32"/>
          <w:szCs w:val="32"/>
          <w:highlight w:val="none"/>
          <w:lang w:eastAsia="zh-CN"/>
        </w:rPr>
        <w:t>税收政策</w:t>
      </w:r>
      <w:bookmarkEnd w:id="276"/>
      <w:bookmarkEnd w:id="277"/>
      <w:bookmarkEnd w:id="278"/>
      <w:bookmarkEnd w:id="279"/>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lang w:val="en-US" w:eastAsia="zh-CN"/>
        </w:rPr>
      </w:pPr>
      <w:bookmarkStart w:id="280" w:name="_Toc29131"/>
      <w:bookmarkStart w:id="281" w:name="_Toc4161"/>
      <w:bookmarkStart w:id="282" w:name="_Toc18149"/>
      <w:bookmarkStart w:id="283" w:name="_Toc4832"/>
      <w:r>
        <w:rPr>
          <w:rFonts w:hint="eastAsia" w:ascii="仿宋_GB2312" w:hAnsi="Calibri" w:eastAsia="仿宋_GB2312" w:cs="Times New Roman"/>
          <w:b/>
          <w:bCs/>
          <w:color w:val="auto"/>
          <w:sz w:val="32"/>
          <w:szCs w:val="32"/>
          <w:highlight w:val="none"/>
          <w:lang w:val="en-US" w:eastAsia="zh-CN"/>
        </w:rPr>
        <w:t>（1）境内外股权和资产收购交易的特殊性税务处理</w:t>
      </w:r>
      <w:bookmarkEnd w:id="280"/>
      <w:bookmarkEnd w:id="281"/>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 w:val="0"/>
          <w:bCs/>
          <w:color w:val="auto"/>
          <w:sz w:val="32"/>
          <w:szCs w:val="32"/>
          <w:highlight w:val="none"/>
          <w:shd w:val="clear" w:color="auto" w:fill="FFFFFF"/>
          <w:lang w:val="en-US" w:eastAsia="zh-CN"/>
        </w:rPr>
      </w:pPr>
      <w:r>
        <w:rPr>
          <w:rFonts w:hint="eastAsia" w:asciiTheme="minorEastAsia" w:hAnsiTheme="minorEastAsia" w:eastAsiaTheme="minorEastAsia" w:cstheme="minorEastAsia"/>
          <w:b w:val="0"/>
          <w:bCs/>
          <w:color w:val="auto"/>
          <w:sz w:val="32"/>
          <w:szCs w:val="32"/>
          <w:highlight w:val="none"/>
          <w:shd w:val="clear" w:color="auto" w:fill="FFFFFF"/>
          <w:lang w:val="en-US" w:eastAsia="zh-CN"/>
        </w:rPr>
        <w:t>【适用主体】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 w:val="0"/>
          <w:bCs w:val="0"/>
          <w:color w:val="auto"/>
          <w:kern w:val="0"/>
          <w:sz w:val="32"/>
          <w:szCs w:val="32"/>
          <w:highlight w:val="none"/>
          <w:shd w:val="clear" w:color="auto" w:fill="FFFFFF"/>
          <w:lang w:val="en-US"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股权转让适用特殊性税务处理的非居民企业</w:t>
      </w: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 w:val="0"/>
          <w:bCs/>
          <w:color w:val="auto"/>
          <w:sz w:val="32"/>
          <w:szCs w:val="32"/>
          <w:highlight w:val="none"/>
          <w:shd w:val="clear" w:color="auto" w:fill="FFFFFF"/>
          <w:lang w:val="en-US" w:eastAsia="zh-CN"/>
        </w:rPr>
      </w:pPr>
      <w:r>
        <w:rPr>
          <w:rFonts w:hint="eastAsia" w:asciiTheme="minorEastAsia" w:hAnsiTheme="minorEastAsia" w:eastAsiaTheme="minorEastAsia" w:cstheme="minorEastAsia"/>
          <w:b w:val="0"/>
          <w:bCs/>
          <w:color w:val="auto"/>
          <w:sz w:val="32"/>
          <w:szCs w:val="32"/>
          <w:highlight w:val="none"/>
          <w:shd w:val="clear" w:color="auto" w:fill="FFFFFF"/>
          <w:lang w:val="en-US" w:eastAsia="zh-CN"/>
        </w:rPr>
        <w:t>【政策规定】</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企业发生涉及中国境内与境外之间（包括港澳台地区）的股权和资产收购交易，除应符合财税〔2009〕59号第五条规定的条件外，还应同时符合下列条件，才可选择适用特殊性税务处理规定：</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　　</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eastAsia="zh-CN"/>
        </w:rPr>
        <w:t>1</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val="en-US" w:eastAsia="zh-CN"/>
        </w:rPr>
        <w:t>.</w:t>
      </w:r>
      <w:r>
        <w:rPr>
          <w:rFonts w:hint="eastAsia" w:ascii="仿宋_GB2312" w:hAnsi="宋体" w:eastAsia="仿宋_GB2312" w:cs="Times New Roman"/>
          <w:i w:val="0"/>
          <w:iCs w:val="0"/>
          <w:caps w:val="0"/>
          <w:color w:val="auto"/>
          <w:spacing w:val="0"/>
          <w:kern w:val="0"/>
          <w:sz w:val="32"/>
          <w:szCs w:val="32"/>
          <w:highlight w:val="none"/>
          <w:shd w:val="clear" w:color="auto" w:fill="FFFFFF"/>
        </w:rPr>
        <w:t>非居民企业向其100%直接控股的另一非居民企业转让其拥有的居民企业股权，没有因此造成以后该项股权转让所得预提税负担变化，且转让方非居民企业向主管税务机关书面承诺在3年（含3年）内不转让其拥有受让方非居民企业的股权；</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　　</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eastAsia="zh-CN"/>
        </w:rPr>
        <w:t>2</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val="en-US" w:eastAsia="zh-CN"/>
        </w:rPr>
        <w:t>.</w:t>
      </w:r>
      <w:r>
        <w:rPr>
          <w:rFonts w:hint="eastAsia" w:ascii="仿宋_GB2312" w:hAnsi="宋体" w:eastAsia="仿宋_GB2312" w:cs="Times New Roman"/>
          <w:i w:val="0"/>
          <w:iCs w:val="0"/>
          <w:caps w:val="0"/>
          <w:color w:val="auto"/>
          <w:spacing w:val="0"/>
          <w:kern w:val="0"/>
          <w:sz w:val="32"/>
          <w:szCs w:val="32"/>
          <w:highlight w:val="none"/>
          <w:shd w:val="clear" w:color="auto" w:fill="FFFFFF"/>
        </w:rPr>
        <w:t>非居民企业向与其具有100%直接控股关系的居民企业转让其拥有的另一居民企业股权；</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　　</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eastAsia="zh-CN"/>
        </w:rPr>
        <w:t>3</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val="en-US" w:eastAsia="zh-CN"/>
        </w:rPr>
        <w:t>.</w:t>
      </w:r>
      <w:r>
        <w:rPr>
          <w:rFonts w:hint="eastAsia" w:ascii="仿宋_GB2312" w:hAnsi="宋体" w:eastAsia="仿宋_GB2312" w:cs="Times New Roman"/>
          <w:i w:val="0"/>
          <w:iCs w:val="0"/>
          <w:caps w:val="0"/>
          <w:color w:val="auto"/>
          <w:spacing w:val="0"/>
          <w:kern w:val="0"/>
          <w:sz w:val="32"/>
          <w:szCs w:val="32"/>
          <w:highlight w:val="none"/>
          <w:shd w:val="clear" w:color="auto" w:fill="FFFFFF"/>
        </w:rPr>
        <w:t>居民企业以其拥有的资产或股权向其100%直接控股的非居民企业进行投资；</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　　</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eastAsia="zh-CN"/>
        </w:rPr>
        <w:t>4</w:t>
      </w:r>
      <w:r>
        <w:rPr>
          <w:rFonts w:hint="eastAsia" w:ascii="仿宋_GB2312" w:hAnsi="宋体" w:eastAsia="仿宋_GB2312" w:cs="Times New Roman"/>
          <w:b w:val="0"/>
          <w:bCs w:val="0"/>
          <w:i w:val="0"/>
          <w:iCs w:val="0"/>
          <w:caps w:val="0"/>
          <w:color w:val="auto"/>
          <w:spacing w:val="0"/>
          <w:kern w:val="0"/>
          <w:sz w:val="32"/>
          <w:szCs w:val="32"/>
          <w:highlight w:val="none"/>
          <w:shd w:val="clear" w:color="auto" w:fill="FFFFFF"/>
          <w:lang w:val="en-US" w:eastAsia="zh-CN"/>
        </w:rPr>
        <w:t>.</w:t>
      </w:r>
      <w:r>
        <w:rPr>
          <w:rFonts w:hint="eastAsia" w:ascii="仿宋_GB2312" w:hAnsi="宋体" w:eastAsia="仿宋_GB2312" w:cs="Times New Roman"/>
          <w:i w:val="0"/>
          <w:iCs w:val="0"/>
          <w:caps w:val="0"/>
          <w:color w:val="auto"/>
          <w:spacing w:val="0"/>
          <w:kern w:val="0"/>
          <w:sz w:val="32"/>
          <w:szCs w:val="32"/>
          <w:highlight w:val="none"/>
          <w:shd w:val="clear" w:color="auto" w:fill="FFFFFF"/>
        </w:rPr>
        <w:t>财政部、国家税务总局核准的其他情形。</w:t>
      </w: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 w:val="0"/>
          <w:bCs/>
          <w:color w:val="auto"/>
          <w:sz w:val="32"/>
          <w:szCs w:val="32"/>
          <w:highlight w:val="none"/>
          <w:shd w:val="clear" w:color="auto" w:fill="FFFFFF"/>
          <w:lang w:val="en-US" w:eastAsia="zh-CN"/>
        </w:rPr>
      </w:pPr>
      <w:r>
        <w:rPr>
          <w:rFonts w:hint="eastAsia" w:asciiTheme="minorEastAsia" w:hAnsiTheme="minorEastAsia" w:eastAsiaTheme="minorEastAsia" w:cstheme="minorEastAsia"/>
          <w:b w:val="0"/>
          <w:bCs/>
          <w:color w:val="auto"/>
          <w:sz w:val="32"/>
          <w:szCs w:val="32"/>
          <w:highlight w:val="none"/>
          <w:shd w:val="clear" w:color="auto" w:fill="FFFFFF"/>
          <w:lang w:val="en-US" w:eastAsia="zh-CN"/>
        </w:rPr>
        <w:t>【政策依据】</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bCs w:val="0"/>
          <w:i w:val="0"/>
          <w:iCs w:val="0"/>
          <w:caps w:val="0"/>
          <w:color w:val="auto"/>
          <w:spacing w:val="0"/>
          <w:kern w:val="0"/>
          <w:sz w:val="32"/>
          <w:szCs w:val="32"/>
          <w:highlight w:val="none"/>
          <w:shd w:val="clear" w:color="auto" w:fill="FFFFFF"/>
          <w:lang w:eastAsia="zh-CN"/>
        </w:rPr>
        <w:t>1</w:t>
      </w:r>
      <w:r>
        <w:rPr>
          <w:rFonts w:hint="eastAsia" w:ascii="黑体" w:hAnsi="黑体" w:eastAsia="黑体" w:cs="黑体"/>
          <w:b w:val="0"/>
          <w:bCs w:val="0"/>
          <w:i w:val="0"/>
          <w:iCs w:val="0"/>
          <w:caps w:val="0"/>
          <w:color w:val="auto"/>
          <w:spacing w:val="0"/>
          <w:kern w:val="0"/>
          <w:sz w:val="32"/>
          <w:szCs w:val="32"/>
          <w:highlight w:val="none"/>
          <w:shd w:val="clear" w:color="auto" w:fill="FFFFFF"/>
          <w:lang w:val="en-US" w:eastAsia="zh-CN"/>
        </w:rPr>
        <w:t>.</w:t>
      </w:r>
      <w:r>
        <w:rPr>
          <w:rFonts w:hint="eastAsia" w:ascii="黑体" w:hAnsi="黑体" w:eastAsia="黑体" w:cs="黑体"/>
          <w:i w:val="0"/>
          <w:iCs w:val="0"/>
          <w:caps w:val="0"/>
          <w:color w:val="auto"/>
          <w:spacing w:val="0"/>
          <w:kern w:val="0"/>
          <w:sz w:val="32"/>
          <w:szCs w:val="32"/>
          <w:highlight w:val="none"/>
          <w:shd w:val="clear" w:color="auto" w:fill="FFFFFF"/>
        </w:rPr>
        <w:t>《财政部 国家税务总局关于企业重组业务企业所得税处理若干问题的通知》（财税〔2009〕59号）</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bCs w:val="0"/>
          <w:i w:val="0"/>
          <w:iCs w:val="0"/>
          <w:caps w:val="0"/>
          <w:color w:val="auto"/>
          <w:spacing w:val="0"/>
          <w:kern w:val="0"/>
          <w:sz w:val="32"/>
          <w:szCs w:val="32"/>
          <w:highlight w:val="none"/>
          <w:shd w:val="clear" w:color="auto" w:fill="FFFFFF"/>
          <w:lang w:eastAsia="zh-CN"/>
        </w:rPr>
        <w:t>2</w:t>
      </w:r>
      <w:r>
        <w:rPr>
          <w:rFonts w:hint="eastAsia" w:ascii="黑体" w:hAnsi="黑体" w:eastAsia="黑体" w:cs="黑体"/>
          <w:b w:val="0"/>
          <w:bCs w:val="0"/>
          <w:i w:val="0"/>
          <w:iCs w:val="0"/>
          <w:caps w:val="0"/>
          <w:color w:val="auto"/>
          <w:spacing w:val="0"/>
          <w:kern w:val="0"/>
          <w:sz w:val="32"/>
          <w:szCs w:val="32"/>
          <w:highlight w:val="none"/>
          <w:shd w:val="clear" w:color="auto" w:fill="FFFFFF"/>
          <w:lang w:val="en-US" w:eastAsia="zh-CN"/>
        </w:rPr>
        <w:t>.</w:t>
      </w:r>
      <w:r>
        <w:rPr>
          <w:rFonts w:hint="eastAsia" w:ascii="黑体" w:hAnsi="黑体" w:eastAsia="黑体" w:cs="黑体"/>
          <w:i w:val="0"/>
          <w:iCs w:val="0"/>
          <w:caps w:val="0"/>
          <w:color w:val="auto"/>
          <w:spacing w:val="0"/>
          <w:kern w:val="0"/>
          <w:sz w:val="32"/>
          <w:szCs w:val="32"/>
          <w:highlight w:val="none"/>
          <w:shd w:val="clear" w:color="auto" w:fill="FFFFFF"/>
        </w:rPr>
        <w:t>国家税务总局关于发布《企业重组业务企业所得税管理办法》的公告（国家税务总局公告2010年第4号）</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bCs w:val="0"/>
          <w:i w:val="0"/>
          <w:iCs w:val="0"/>
          <w:caps w:val="0"/>
          <w:color w:val="auto"/>
          <w:spacing w:val="0"/>
          <w:kern w:val="0"/>
          <w:sz w:val="32"/>
          <w:szCs w:val="32"/>
          <w:highlight w:val="none"/>
          <w:shd w:val="clear" w:color="auto" w:fill="FFFFFF"/>
          <w:lang w:eastAsia="zh-CN"/>
        </w:rPr>
        <w:t>3</w:t>
      </w:r>
      <w:r>
        <w:rPr>
          <w:rFonts w:hint="eastAsia" w:ascii="黑体" w:hAnsi="黑体" w:eastAsia="黑体" w:cs="黑体"/>
          <w:b w:val="0"/>
          <w:bCs w:val="0"/>
          <w:i w:val="0"/>
          <w:iCs w:val="0"/>
          <w:caps w:val="0"/>
          <w:color w:val="auto"/>
          <w:spacing w:val="0"/>
          <w:kern w:val="0"/>
          <w:sz w:val="32"/>
          <w:szCs w:val="32"/>
          <w:highlight w:val="none"/>
          <w:shd w:val="clear" w:color="auto" w:fill="FFFFFF"/>
          <w:lang w:val="en-US" w:eastAsia="zh-CN"/>
        </w:rPr>
        <w:t>.</w:t>
      </w:r>
      <w:r>
        <w:rPr>
          <w:rFonts w:hint="eastAsia" w:ascii="黑体" w:hAnsi="黑体" w:eastAsia="黑体" w:cs="黑体"/>
          <w:i w:val="0"/>
          <w:iCs w:val="0"/>
          <w:caps w:val="0"/>
          <w:color w:val="auto"/>
          <w:spacing w:val="0"/>
          <w:kern w:val="0"/>
          <w:sz w:val="32"/>
          <w:szCs w:val="32"/>
          <w:highlight w:val="none"/>
          <w:shd w:val="clear" w:color="auto" w:fill="FFFFFF"/>
        </w:rPr>
        <w:t>《国家税务总局关于非居民企业股权转让适用特殊性税务处理有关问题的公告》（国家税务总局公告2013年第72号发布，国家税务总局公告2015年第22号修改）</w:t>
      </w:r>
    </w:p>
    <w:p>
      <w:pPr>
        <w:keepNext/>
        <w:keepLines/>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FFFFFF"/>
          <w:lang w:val="en-US" w:eastAsia="zh-CN"/>
        </w:rPr>
      </w:pPr>
      <w:r>
        <w:rPr>
          <w:rFonts w:hint="eastAsia" w:ascii="黑体" w:hAnsi="黑体" w:eastAsia="黑体" w:cs="黑体"/>
          <w:b w:val="0"/>
          <w:bCs w:val="0"/>
          <w:i w:val="0"/>
          <w:iCs w:val="0"/>
          <w:caps w:val="0"/>
          <w:color w:val="auto"/>
          <w:spacing w:val="0"/>
          <w:kern w:val="0"/>
          <w:sz w:val="32"/>
          <w:szCs w:val="32"/>
          <w:highlight w:val="none"/>
          <w:shd w:val="clear" w:color="auto" w:fill="FFFFFF"/>
          <w:lang w:eastAsia="zh-CN"/>
        </w:rPr>
        <w:t>4</w:t>
      </w:r>
      <w:r>
        <w:rPr>
          <w:rFonts w:hint="eastAsia" w:ascii="黑体" w:hAnsi="黑体" w:eastAsia="黑体" w:cs="黑体"/>
          <w:b w:val="0"/>
          <w:bCs w:val="0"/>
          <w:i w:val="0"/>
          <w:iCs w:val="0"/>
          <w:caps w:val="0"/>
          <w:color w:val="auto"/>
          <w:spacing w:val="0"/>
          <w:kern w:val="0"/>
          <w:sz w:val="32"/>
          <w:szCs w:val="32"/>
          <w:highlight w:val="none"/>
          <w:shd w:val="clear" w:color="auto" w:fill="FFFFFF"/>
          <w:lang w:val="en-US" w:eastAsia="zh-CN"/>
        </w:rPr>
        <w:t>.</w:t>
      </w:r>
      <w:r>
        <w:rPr>
          <w:rFonts w:hint="eastAsia" w:ascii="黑体" w:hAnsi="黑体" w:eastAsia="黑体" w:cs="黑体"/>
          <w:i w:val="0"/>
          <w:iCs w:val="0"/>
          <w:caps w:val="0"/>
          <w:color w:val="auto"/>
          <w:spacing w:val="0"/>
          <w:kern w:val="0"/>
          <w:sz w:val="32"/>
          <w:szCs w:val="32"/>
          <w:highlight w:val="none"/>
          <w:shd w:val="clear" w:color="auto" w:fill="FFFFFF"/>
        </w:rPr>
        <w:t>《国家税务总局关于企业重组业务企业所得税征收管理若干问题的公告》（国家税务总局公告2015年第48号）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_GB2312" w:hAnsi="Calibri" w:eastAsia="仿宋_GB2312"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3"/>
        <w:rPr>
          <w:rFonts w:hint="eastAsia" w:ascii="仿宋_GB2312" w:hAnsi="Calibri" w:eastAsia="仿宋_GB2312" w:cs="Times New Roman"/>
          <w:b/>
          <w:bCs/>
          <w:color w:val="auto"/>
          <w:sz w:val="32"/>
          <w:szCs w:val="32"/>
          <w:highlight w:val="none"/>
        </w:rPr>
      </w:pPr>
      <w:bookmarkStart w:id="284" w:name="_Toc1857"/>
      <w:bookmarkStart w:id="285" w:name="_Toc21664"/>
      <w:r>
        <w:rPr>
          <w:rFonts w:hint="eastAsia" w:ascii="仿宋_GB2312" w:hAnsi="Calibri" w:eastAsia="仿宋_GB2312" w:cs="Times New Roman"/>
          <w:b/>
          <w:bCs/>
          <w:color w:val="auto"/>
          <w:sz w:val="32"/>
          <w:szCs w:val="32"/>
          <w:highlight w:val="none"/>
          <w:lang w:val="en-US" w:eastAsia="zh-CN"/>
        </w:rPr>
        <w:t>（2）</w:t>
      </w:r>
      <w:r>
        <w:rPr>
          <w:rFonts w:hint="eastAsia" w:ascii="仿宋_GB2312" w:hAnsi="Calibri" w:eastAsia="仿宋_GB2312" w:cs="Times New Roman"/>
          <w:b/>
          <w:bCs/>
          <w:color w:val="auto"/>
          <w:sz w:val="32"/>
          <w:szCs w:val="32"/>
          <w:highlight w:val="none"/>
        </w:rPr>
        <w:t>非居民企业股权转让适用特殊性税务处理</w:t>
      </w:r>
      <w:bookmarkEnd w:id="282"/>
      <w:bookmarkEnd w:id="283"/>
      <w:bookmarkEnd w:id="284"/>
      <w:bookmarkEnd w:id="285"/>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b w:val="0"/>
          <w:bCs w:val="0"/>
          <w:color w:val="auto"/>
          <w:kern w:val="2"/>
          <w:sz w:val="32"/>
          <w:szCs w:val="32"/>
          <w:highlight w:val="none"/>
          <w:lang w:val="en-US" w:eastAsia="zh-CN" w:bidi="ar-SA"/>
        </w:rPr>
      </w:pPr>
      <w:r>
        <w:rPr>
          <w:rFonts w:hint="default" w:ascii="仿宋_GB2312" w:hAnsi="仿宋_GB2312" w:eastAsia="仿宋_GB2312" w:cs="仿宋_GB2312"/>
          <w:b w:val="0"/>
          <w:bCs w:val="0"/>
          <w:color w:val="auto"/>
          <w:kern w:val="2"/>
          <w:sz w:val="32"/>
          <w:szCs w:val="32"/>
          <w:highlight w:val="none"/>
          <w:lang w:val="en-US" w:eastAsia="zh-CN" w:bidi="ar-SA"/>
        </w:rPr>
        <w:t>股权转让的非居民企业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特殊性税务处理在重组交易的时点暂不确认相关资产或股权的转让所得或损失，保留资产或股权原计税基础的原值以实现递延纳税，同时，目标公司的税收属性可以结转到合并企业或分立企业继续利用。</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pStyle w:val="5"/>
        <w:keepNext w:val="0"/>
        <w:keepLines w:val="0"/>
        <w:pageBreakBefore w:val="0"/>
        <w:kinsoku/>
        <w:wordWrap/>
        <w:overflowPunct/>
        <w:topLinePunct w:val="0"/>
        <w:autoSpaceDE/>
        <w:autoSpaceDN/>
        <w:bidi w:val="0"/>
        <w:adjustRightInd/>
        <w:snapToGrid/>
        <w:spacing w:line="360" w:lineRule="auto"/>
        <w:ind w:firstLine="560"/>
        <w:jc w:val="both"/>
        <w:textAlignment w:val="auto"/>
        <w:outlineLvl w:val="9"/>
        <w:rPr>
          <w:rFonts w:hint="eastAsia" w:ascii="黑体" w:hAnsi="黑体" w:eastAsia="黑体" w:cs="黑体"/>
          <w:color w:val="auto"/>
          <w:kern w:val="2"/>
          <w:sz w:val="32"/>
          <w:szCs w:val="32"/>
          <w:highlight w:val="none"/>
          <w:lang w:eastAsia="zh-CN"/>
        </w:rPr>
      </w:pPr>
      <w:r>
        <w:rPr>
          <w:rFonts w:hint="eastAsia" w:ascii="黑体" w:hAnsi="黑体" w:eastAsia="黑体" w:cs="黑体"/>
          <w:color w:val="auto"/>
          <w:kern w:val="2"/>
          <w:sz w:val="32"/>
          <w:szCs w:val="32"/>
          <w:highlight w:val="none"/>
          <w:lang w:val="en-US" w:eastAsia="zh-CN"/>
        </w:rPr>
        <w:t>1.</w:t>
      </w:r>
      <w:r>
        <w:rPr>
          <w:rFonts w:hint="eastAsia" w:ascii="黑体" w:hAnsi="黑体" w:eastAsia="黑体" w:cs="黑体"/>
          <w:color w:val="auto"/>
          <w:kern w:val="2"/>
          <w:sz w:val="32"/>
          <w:szCs w:val="32"/>
          <w:highlight w:val="none"/>
          <w:lang w:eastAsia="zh-CN"/>
        </w:rPr>
        <w:t>《财政部国家税务总局关于企业重组业务企业所得税处理若干问题的通知》（财税〔2009〕59号）</w:t>
      </w:r>
    </w:p>
    <w:p>
      <w:pPr>
        <w:pStyle w:val="5"/>
        <w:keepNext w:val="0"/>
        <w:keepLines w:val="0"/>
        <w:pageBreakBefore w:val="0"/>
        <w:kinsoku/>
        <w:wordWrap/>
        <w:overflowPunct/>
        <w:topLinePunct w:val="0"/>
        <w:autoSpaceDE/>
        <w:autoSpaceDN/>
        <w:bidi w:val="0"/>
        <w:adjustRightInd/>
        <w:snapToGrid/>
        <w:spacing w:line="360" w:lineRule="auto"/>
        <w:ind w:firstLine="560"/>
        <w:jc w:val="both"/>
        <w:textAlignment w:val="auto"/>
        <w:outlineLvl w:val="9"/>
        <w:rPr>
          <w:rFonts w:hint="eastAsia" w:ascii="黑体" w:hAnsi="黑体" w:eastAsia="黑体" w:cs="黑体"/>
          <w:color w:val="auto"/>
          <w:kern w:val="2"/>
          <w:sz w:val="32"/>
          <w:szCs w:val="32"/>
          <w:highlight w:val="none"/>
          <w:lang w:eastAsia="zh-CN"/>
        </w:rPr>
      </w:pPr>
      <w:r>
        <w:rPr>
          <w:rFonts w:hint="eastAsia" w:ascii="黑体" w:hAnsi="黑体" w:eastAsia="黑体" w:cs="黑体"/>
          <w:color w:val="auto"/>
          <w:kern w:val="2"/>
          <w:sz w:val="32"/>
          <w:szCs w:val="32"/>
          <w:highlight w:val="none"/>
          <w:lang w:val="en-US" w:eastAsia="zh-CN"/>
        </w:rPr>
        <w:t>2.</w:t>
      </w:r>
      <w:r>
        <w:rPr>
          <w:rFonts w:hint="eastAsia" w:ascii="黑体" w:hAnsi="黑体" w:eastAsia="黑体" w:cs="黑体"/>
          <w:color w:val="auto"/>
          <w:kern w:val="2"/>
          <w:sz w:val="32"/>
          <w:szCs w:val="32"/>
          <w:highlight w:val="none"/>
          <w:lang w:eastAsia="zh-CN"/>
        </w:rPr>
        <w:t>《关于非居民企业股权转让适用特殊性税务处理有关问题的公告》（</w:t>
      </w:r>
      <w:bookmarkStart w:id="286" w:name="OLE_LINK2"/>
      <w:r>
        <w:rPr>
          <w:rFonts w:hint="eastAsia" w:ascii="黑体" w:hAnsi="黑体" w:eastAsia="黑体" w:cs="黑体"/>
          <w:color w:val="auto"/>
          <w:kern w:val="2"/>
          <w:sz w:val="32"/>
          <w:szCs w:val="32"/>
          <w:highlight w:val="none"/>
          <w:lang w:eastAsia="zh-CN"/>
        </w:rPr>
        <w:t>国家税务总局公告2013年第72号</w:t>
      </w:r>
      <w:bookmarkEnd w:id="286"/>
      <w:r>
        <w:rPr>
          <w:rFonts w:hint="eastAsia" w:ascii="黑体" w:hAnsi="黑体" w:eastAsia="黑体" w:cs="黑体"/>
          <w:color w:val="auto"/>
          <w:kern w:val="2"/>
          <w:sz w:val="32"/>
          <w:szCs w:val="32"/>
          <w:highlight w:val="none"/>
          <w:lang w:eastAsia="zh-CN"/>
        </w:rPr>
        <w:t>）</w:t>
      </w:r>
    </w:p>
    <w:p>
      <w:pPr>
        <w:keepNext w:val="0"/>
        <w:keepLines w:val="0"/>
        <w:widowControl w:val="0"/>
        <w:suppressLineNumbers w:val="0"/>
        <w:pBdr>
          <w:top w:val="none" w:color="auto" w:sz="0" w:space="0"/>
          <w:left w:val="none" w:color="auto" w:sz="0" w:space="0"/>
          <w:right w:val="none" w:color="auto" w:sz="0" w:space="0"/>
        </w:pBdr>
        <w:shd w:val="clear" w:color="auto" w:fill="FFFFFF"/>
        <w:spacing w:before="0" w:beforeAutospacing="0" w:after="0" w:afterAutospacing="0"/>
        <w:ind w:left="0" w:right="0"/>
        <w:jc w:val="both"/>
        <w:outlineLvl w:val="9"/>
        <w:rPr>
          <w:rFonts w:hint="eastAsia" w:ascii="仿宋_GB2312" w:eastAsia="仿宋_GB2312" w:cs="Times New Roman"/>
          <w:b/>
          <w:bCs/>
          <w:i w:val="0"/>
          <w:iCs w:val="0"/>
          <w:caps w:val="0"/>
          <w:color w:val="auto"/>
          <w:spacing w:val="0"/>
          <w:sz w:val="32"/>
          <w:szCs w:val="32"/>
          <w:highlight w:val="none"/>
          <w:shd w:val="clear" w:color="auto" w:fill="auto"/>
          <w:lang w:val="en-US" w:eastAsia="zh-CN"/>
        </w:rPr>
      </w:pPr>
    </w:p>
    <w:p>
      <w:pPr>
        <w:keepNext w:val="0"/>
        <w:keepLines w:val="0"/>
        <w:widowControl w:val="0"/>
        <w:suppressLineNumbers w:val="0"/>
        <w:pBdr>
          <w:top w:val="none" w:color="auto" w:sz="0" w:space="0"/>
          <w:left w:val="none" w:color="auto" w:sz="0" w:space="0"/>
          <w:right w:val="none" w:color="auto" w:sz="0" w:space="0"/>
        </w:pBdr>
        <w:shd w:val="clear" w:color="auto" w:fill="FFFFFF"/>
        <w:spacing w:before="0" w:beforeAutospacing="0" w:after="0" w:afterAutospacing="0"/>
        <w:ind w:left="0" w:right="0"/>
        <w:jc w:val="both"/>
        <w:outlineLvl w:val="3"/>
        <w:rPr>
          <w:rFonts w:hint="eastAsia" w:ascii="仿宋_GB2312" w:hAnsi="Calibri" w:eastAsia="仿宋_GB2312" w:cs="Times New Roman"/>
          <w:b/>
          <w:bCs/>
          <w:i w:val="0"/>
          <w:iCs w:val="0"/>
          <w:caps w:val="0"/>
          <w:color w:val="auto"/>
          <w:spacing w:val="0"/>
          <w:sz w:val="32"/>
          <w:szCs w:val="32"/>
          <w:highlight w:val="none"/>
        </w:rPr>
      </w:pPr>
      <w:bookmarkStart w:id="287" w:name="_Toc22467"/>
      <w:bookmarkStart w:id="288" w:name="_Toc8246"/>
      <w:r>
        <w:rPr>
          <w:rFonts w:hint="eastAsia" w:ascii="仿宋_GB2312" w:eastAsia="仿宋_GB2312" w:cs="Times New Roman"/>
          <w:b/>
          <w:bCs/>
          <w:i w:val="0"/>
          <w:iCs w:val="0"/>
          <w:caps w:val="0"/>
          <w:color w:val="auto"/>
          <w:spacing w:val="0"/>
          <w:sz w:val="32"/>
          <w:szCs w:val="32"/>
          <w:highlight w:val="none"/>
          <w:shd w:val="clear" w:color="auto" w:fill="auto"/>
          <w:lang w:val="en-US" w:eastAsia="zh-CN"/>
        </w:rPr>
        <w:t>（3）</w:t>
      </w:r>
      <w:r>
        <w:rPr>
          <w:rFonts w:hint="eastAsia" w:ascii="仿宋_GB2312" w:hAnsi="Calibri" w:eastAsia="仿宋_GB2312" w:cs="Times New Roman"/>
          <w:b/>
          <w:bCs/>
          <w:i w:val="0"/>
          <w:iCs w:val="0"/>
          <w:caps w:val="0"/>
          <w:color w:val="auto"/>
          <w:spacing w:val="0"/>
          <w:sz w:val="32"/>
          <w:szCs w:val="32"/>
          <w:highlight w:val="none"/>
          <w:shd w:val="clear" w:color="auto" w:fill="auto"/>
        </w:rPr>
        <w:t>技术转让所得减免企业所得税</w:t>
      </w:r>
      <w:bookmarkEnd w:id="287"/>
      <w:bookmarkEnd w:id="288"/>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Cs w:val="0"/>
          <w:color w:val="auto"/>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技术转让的居民企业</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Cs w:val="0"/>
          <w:color w:val="auto"/>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rPr>
        <w:t>一个纳税年度内，居民企业技术转让所得不超过500万元的部分，免征企业所得税；超过500万元的部分，减半征收企业所得税。</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1.</w:t>
      </w:r>
      <w:r>
        <w:rPr>
          <w:rFonts w:hint="eastAsia" w:ascii="黑体" w:hAnsi="黑体" w:eastAsia="黑体" w:cs="黑体"/>
          <w:b w:val="0"/>
          <w:i w:val="0"/>
          <w:iCs w:val="0"/>
          <w:caps w:val="0"/>
          <w:color w:val="auto"/>
          <w:spacing w:val="0"/>
          <w:kern w:val="0"/>
          <w:sz w:val="32"/>
          <w:szCs w:val="32"/>
          <w:highlight w:val="none"/>
          <w:shd w:val="clear" w:color="auto" w:fill="FFFFFF"/>
          <w:lang w:eastAsia="zh-CN"/>
        </w:rPr>
        <w:t>《</w:t>
      </w:r>
      <w:r>
        <w:rPr>
          <w:rFonts w:hint="eastAsia" w:ascii="黑体" w:hAnsi="黑体" w:eastAsia="黑体" w:cs="黑体"/>
          <w:i w:val="0"/>
          <w:iCs w:val="0"/>
          <w:caps w:val="0"/>
          <w:color w:val="auto"/>
          <w:spacing w:val="0"/>
          <w:kern w:val="0"/>
          <w:sz w:val="32"/>
          <w:szCs w:val="32"/>
          <w:highlight w:val="none"/>
          <w:shd w:val="clear" w:color="auto" w:fill="auto"/>
        </w:rPr>
        <w:t>中华人民共和国企业所得税法</w:t>
      </w:r>
      <w:r>
        <w:rPr>
          <w:rFonts w:hint="eastAsia" w:ascii="黑体" w:hAnsi="黑体" w:eastAsia="黑体" w:cs="黑体"/>
          <w:b w:val="0"/>
          <w:i w:val="0"/>
          <w:iCs w:val="0"/>
          <w:caps w:val="0"/>
          <w:color w:val="auto"/>
          <w:spacing w:val="0"/>
          <w:kern w:val="0"/>
          <w:sz w:val="32"/>
          <w:szCs w:val="32"/>
          <w:highlight w:val="none"/>
          <w:shd w:val="clear" w:color="auto" w:fill="FFFFFF"/>
          <w:lang w:eastAsia="zh-CN"/>
        </w:rPr>
        <w:t>》</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2.</w:t>
      </w:r>
      <w:r>
        <w:rPr>
          <w:rFonts w:hint="eastAsia" w:ascii="黑体" w:hAnsi="黑体" w:eastAsia="黑体" w:cs="黑体"/>
          <w:b w:val="0"/>
          <w:i w:val="0"/>
          <w:iCs w:val="0"/>
          <w:caps w:val="0"/>
          <w:color w:val="auto"/>
          <w:spacing w:val="0"/>
          <w:kern w:val="0"/>
          <w:sz w:val="32"/>
          <w:szCs w:val="32"/>
          <w:highlight w:val="none"/>
          <w:shd w:val="clear" w:color="auto" w:fill="FFFFFF"/>
          <w:lang w:eastAsia="zh-CN"/>
        </w:rPr>
        <w:t>《</w:t>
      </w:r>
      <w:r>
        <w:rPr>
          <w:rFonts w:hint="eastAsia" w:ascii="黑体" w:hAnsi="黑体" w:eastAsia="黑体" w:cs="黑体"/>
          <w:i w:val="0"/>
          <w:iCs w:val="0"/>
          <w:caps w:val="0"/>
          <w:color w:val="auto"/>
          <w:spacing w:val="0"/>
          <w:kern w:val="0"/>
          <w:sz w:val="32"/>
          <w:szCs w:val="32"/>
          <w:highlight w:val="none"/>
          <w:shd w:val="clear" w:color="auto" w:fill="auto"/>
        </w:rPr>
        <w:t>中华人民共和国企业所得税法实施条例</w:t>
      </w:r>
      <w:r>
        <w:rPr>
          <w:rFonts w:hint="eastAsia" w:ascii="黑体" w:hAnsi="黑体" w:eastAsia="黑体" w:cs="黑体"/>
          <w:b w:val="0"/>
          <w:i w:val="0"/>
          <w:iCs w:val="0"/>
          <w:caps w:val="0"/>
          <w:color w:val="auto"/>
          <w:spacing w:val="0"/>
          <w:kern w:val="0"/>
          <w:sz w:val="32"/>
          <w:szCs w:val="32"/>
          <w:highlight w:val="none"/>
          <w:shd w:val="clear" w:color="auto" w:fill="FFFFFF"/>
          <w:lang w:eastAsia="zh-CN"/>
        </w:rPr>
        <w:t>》</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3.</w:t>
      </w:r>
      <w:r>
        <w:rPr>
          <w:rFonts w:hint="eastAsia" w:ascii="黑体" w:hAnsi="黑体" w:eastAsia="黑体" w:cs="黑体"/>
          <w:i w:val="0"/>
          <w:iCs w:val="0"/>
          <w:caps w:val="0"/>
          <w:color w:val="auto"/>
          <w:spacing w:val="0"/>
          <w:kern w:val="0"/>
          <w:sz w:val="32"/>
          <w:szCs w:val="32"/>
          <w:highlight w:val="none"/>
          <w:shd w:val="clear" w:color="auto" w:fill="auto"/>
        </w:rPr>
        <w:t>财政部 国家税务总局关于将国家自主创新示范区有关税收试点政策推广到全国范围实施的通知（财税〔2015〕116号）</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4.</w:t>
      </w:r>
      <w:r>
        <w:rPr>
          <w:rFonts w:hint="eastAsia" w:ascii="黑体" w:hAnsi="黑体" w:eastAsia="黑体" w:cs="黑体"/>
          <w:i w:val="0"/>
          <w:iCs w:val="0"/>
          <w:caps w:val="0"/>
          <w:color w:val="auto"/>
          <w:spacing w:val="0"/>
          <w:kern w:val="0"/>
          <w:sz w:val="32"/>
          <w:szCs w:val="32"/>
          <w:highlight w:val="none"/>
          <w:shd w:val="clear" w:color="auto" w:fill="auto"/>
        </w:rPr>
        <w:t>国家税务总局关于许可使用权技术转让所得企业所得税有关问题的公告（国家税务总局公告2015年82号）</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5.</w:t>
      </w:r>
      <w:r>
        <w:rPr>
          <w:rFonts w:hint="eastAsia" w:ascii="黑体" w:hAnsi="黑体" w:eastAsia="黑体" w:cs="黑体"/>
          <w:i w:val="0"/>
          <w:iCs w:val="0"/>
          <w:caps w:val="0"/>
          <w:color w:val="auto"/>
          <w:spacing w:val="0"/>
          <w:kern w:val="0"/>
          <w:sz w:val="32"/>
          <w:szCs w:val="32"/>
          <w:highlight w:val="none"/>
          <w:shd w:val="clear" w:color="auto" w:fill="auto"/>
        </w:rPr>
        <w:t>财政部 国家税务总局关于居民企业技术转让有关企业所得税政策问题的通知（财税〔2010〕111号）</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6.</w:t>
      </w:r>
      <w:r>
        <w:rPr>
          <w:rFonts w:hint="eastAsia" w:ascii="黑体" w:hAnsi="黑体" w:eastAsia="黑体" w:cs="黑体"/>
          <w:i w:val="0"/>
          <w:iCs w:val="0"/>
          <w:caps w:val="0"/>
          <w:color w:val="auto"/>
          <w:spacing w:val="0"/>
          <w:kern w:val="0"/>
          <w:sz w:val="32"/>
          <w:szCs w:val="32"/>
          <w:highlight w:val="none"/>
          <w:shd w:val="clear" w:color="auto" w:fill="auto"/>
        </w:rPr>
        <w:t>国家税务总局关于技术转让所得减免企业所得税有关问题的通知（国税函〔2009〕212号）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黑体" w:hAnsi="黑体" w:eastAsia="黑体" w:cs="黑体"/>
          <w:color w:val="auto"/>
          <w:kern w:val="0"/>
          <w:sz w:val="32"/>
          <w:szCs w:val="32"/>
          <w:highlight w:val="none"/>
          <w:shd w:val="clear" w:color="auto" w:fill="FFFFFF"/>
          <w:lang w:val="en-US" w:eastAsia="zh-CN"/>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7.</w:t>
      </w:r>
      <w:r>
        <w:rPr>
          <w:rFonts w:hint="eastAsia" w:ascii="黑体" w:hAnsi="黑体" w:eastAsia="黑体" w:cs="黑体"/>
          <w:i w:val="0"/>
          <w:iCs w:val="0"/>
          <w:caps w:val="0"/>
          <w:color w:val="auto"/>
          <w:spacing w:val="0"/>
          <w:kern w:val="0"/>
          <w:sz w:val="32"/>
          <w:szCs w:val="32"/>
          <w:highlight w:val="none"/>
          <w:shd w:val="clear" w:color="auto" w:fill="auto"/>
        </w:rPr>
        <w:t>国家税务总局关于发布修订后的《企业所得税优惠政策事项办理办法》的公告（国家税务总局公告2018年第23号）</w:t>
      </w:r>
    </w:p>
    <w:p>
      <w:pPr>
        <w:pageBreakBefore w:val="0"/>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val="0"/>
          <w:color w:val="auto"/>
          <w:kern w:val="0"/>
          <w:sz w:val="32"/>
          <w:szCs w:val="32"/>
          <w:highlight w:val="none"/>
          <w:shd w:val="clear" w:color="auto" w:fill="FFFFFF"/>
          <w:lang w:val="en-US" w:eastAsia="zh-CN"/>
        </w:rPr>
      </w:pPr>
      <w:bookmarkStart w:id="289" w:name="_Toc21709"/>
      <w:bookmarkStart w:id="290" w:name="_Toc264"/>
    </w:p>
    <w:p>
      <w:pPr>
        <w:keepNext w:val="0"/>
        <w:keepLines w:val="0"/>
        <w:widowControl w:val="0"/>
        <w:suppressLineNumbers w:val="0"/>
        <w:pBdr>
          <w:top w:val="none" w:color="auto" w:sz="0" w:space="0"/>
          <w:left w:val="none" w:color="auto" w:sz="0" w:space="0"/>
          <w:right w:val="none" w:color="auto" w:sz="0" w:space="0"/>
        </w:pBdr>
        <w:shd w:val="clear" w:color="auto" w:fill="FFFFFF"/>
        <w:spacing w:before="0" w:beforeAutospacing="0" w:after="0" w:afterAutospacing="0"/>
        <w:ind w:left="0" w:right="0"/>
        <w:jc w:val="both"/>
        <w:outlineLvl w:val="3"/>
        <w:rPr>
          <w:rFonts w:hint="eastAsia" w:ascii="仿宋_GB2312" w:hAnsi="Calibri" w:eastAsia="仿宋_GB2312" w:cs="Times New Roman"/>
          <w:b/>
          <w:bCs/>
          <w:i w:val="0"/>
          <w:iCs w:val="0"/>
          <w:caps w:val="0"/>
          <w:color w:val="auto"/>
          <w:spacing w:val="0"/>
          <w:sz w:val="32"/>
          <w:szCs w:val="32"/>
          <w:highlight w:val="none"/>
        </w:rPr>
      </w:pPr>
      <w:bookmarkStart w:id="291" w:name="_Toc4413"/>
      <w:r>
        <w:rPr>
          <w:rFonts w:hint="eastAsia" w:ascii="仿宋_GB2312" w:eastAsia="仿宋_GB2312" w:cs="Times New Roman"/>
          <w:b/>
          <w:bCs/>
          <w:i w:val="0"/>
          <w:iCs w:val="0"/>
          <w:caps w:val="0"/>
          <w:color w:val="auto"/>
          <w:spacing w:val="0"/>
          <w:sz w:val="32"/>
          <w:szCs w:val="32"/>
          <w:highlight w:val="none"/>
          <w:shd w:val="clear" w:color="auto" w:fill="auto"/>
          <w:lang w:val="en-US" w:eastAsia="zh-CN"/>
        </w:rPr>
        <w:t>（4）技术转让免征增值税</w:t>
      </w:r>
      <w:bookmarkEnd w:id="291"/>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符合条件的增值税纳税人</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纳税人提供技术转让、技术开发和与之相关的技术咨询、技术服务，免征增值税。</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技术转让、技术开发，是指《销售服务、无形资产、不动产注释》（财税〔2016〕36号附件1印发）中“转让技术”、“研发服务”范围内的业务活动。技术咨询，是指就特定技术项目提供可行性论证、技术预测、专题技术调查、分析评价报告等业务活动。</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与技术转让、技术开发相关的技术咨询、技术服务，是指转让方（或者受托方）根据技术转让或者开发合同的规定，为帮助受让方（或者委托方）掌握所转让（或者委托开发）的技术，而提供的技术咨询、技术服务业务，且这部分技术咨询、技术服务的价款与技术转让或者技术开发的价款应当在同一张发票上开具。</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纳税人申请免征增值税时，须持技术转让、开发的书面合同，到纳税人所在地省级科技主管部门进行认定，并持有关的书面合同和科技主管部门审核意见证明文件报主管税务机关备查。</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1.《财政部 国家税务总局关于全面推开营业税改征增值税试点的通知》（财税〔2016〕36号）</w:t>
      </w:r>
    </w:p>
    <w:p>
      <w:pPr>
        <w:pageBreakBefore w:val="0"/>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val="0"/>
          <w:color w:val="auto"/>
          <w:kern w:val="0"/>
          <w:sz w:val="32"/>
          <w:szCs w:val="32"/>
          <w:highlight w:val="none"/>
          <w:shd w:val="clear" w:color="auto" w:fill="FFFFFF"/>
          <w:lang w:val="en-US" w:eastAsia="zh-CN"/>
        </w:rPr>
      </w:pPr>
    </w:p>
    <w:p>
      <w:pPr>
        <w:keepNext w:val="0"/>
        <w:keepLines w:val="0"/>
        <w:widowControl w:val="0"/>
        <w:suppressLineNumbers w:val="0"/>
        <w:pBdr>
          <w:top w:val="none" w:color="auto" w:sz="0" w:space="0"/>
          <w:left w:val="none" w:color="auto" w:sz="0" w:space="0"/>
          <w:right w:val="none" w:color="auto" w:sz="0" w:space="0"/>
        </w:pBdr>
        <w:shd w:val="clear" w:color="auto" w:fill="FFFFFF"/>
        <w:spacing w:before="0" w:beforeAutospacing="0" w:after="0" w:afterAutospacing="0"/>
        <w:ind w:left="0" w:right="0"/>
        <w:jc w:val="both"/>
        <w:outlineLvl w:val="3"/>
        <w:rPr>
          <w:rFonts w:hint="eastAsia" w:ascii="仿宋_GB2312" w:hAnsi="Calibri" w:eastAsia="仿宋_GB2312" w:cs="Times New Roman"/>
          <w:b/>
          <w:bCs/>
          <w:i w:val="0"/>
          <w:iCs w:val="0"/>
          <w:caps w:val="0"/>
          <w:color w:val="auto"/>
          <w:spacing w:val="0"/>
          <w:sz w:val="32"/>
          <w:szCs w:val="32"/>
          <w:highlight w:val="none"/>
        </w:rPr>
      </w:pPr>
      <w:bookmarkStart w:id="292" w:name="_Toc20031"/>
      <w:r>
        <w:rPr>
          <w:rFonts w:hint="eastAsia" w:ascii="仿宋_GB2312" w:eastAsia="仿宋_GB2312" w:cs="Times New Roman"/>
          <w:b/>
          <w:bCs/>
          <w:i w:val="0"/>
          <w:iCs w:val="0"/>
          <w:caps w:val="0"/>
          <w:color w:val="auto"/>
          <w:spacing w:val="0"/>
          <w:sz w:val="32"/>
          <w:szCs w:val="32"/>
          <w:highlight w:val="none"/>
          <w:shd w:val="clear" w:color="auto" w:fill="auto"/>
          <w:lang w:val="en-US" w:eastAsia="zh-CN"/>
        </w:rPr>
        <w:t>（5）股权转让有关印花税政策</w:t>
      </w:r>
      <w:bookmarkEnd w:id="292"/>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bCs w:val="0"/>
          <w:color w:val="auto"/>
          <w:kern w:val="0"/>
          <w:sz w:val="32"/>
          <w:szCs w:val="32"/>
          <w:highlight w:val="none"/>
          <w:shd w:val="clear" w:color="auto" w:fill="FFFFFF"/>
          <w:lang w:eastAsia="zh-CN"/>
        </w:rPr>
      </w:pPr>
      <w:r>
        <w:rPr>
          <w:rFonts w:hint="eastAsia" w:ascii="仿宋_GB2312" w:hAnsi="仿宋_GB2312" w:eastAsia="仿宋_GB2312" w:cs="仿宋_GB2312"/>
          <w:kern w:val="2"/>
          <w:sz w:val="32"/>
          <w:szCs w:val="40"/>
          <w:highlight w:val="none"/>
          <w:lang w:val="en-US" w:eastAsia="zh-CN" w:bidi="ar"/>
        </w:rPr>
        <w:t>书立产权转移书据的单位和个人</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在中华人民共和国境内书立或者境外书立境内使用应税凭证的单位和个人，为印花税的纳税人，应当缴纳印花税。应税凭证，是指《中华人民共和国印花税法》所附《印花税税目税率表》列明的合同、产权转移书据和营业账簿。其中，股权转让书据（不包括应缴纳证券交易印花税的）税率为价款的万分之五，转让包括买卖（出售）、继承、赠与、互换、分割。</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对企业改制、合并、分立、破产清算以及事业单位改制书立的产权转移书据，免征印花税。</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对县级以上人民政府或者其所属具有国有资产管理职责的部门按规定对土地使用权、房屋等建筑物和构筑物所有权、股权进行行政性调整书立的产权转移书据，免征印花税。</w:t>
      </w:r>
    </w:p>
    <w:p>
      <w:pPr>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pPr>
      <w:r>
        <w:rPr>
          <w:rFonts w:hint="eastAsia" w:ascii="仿宋_GB2312" w:hAnsi="宋体" w:eastAsia="仿宋_GB2312" w:cs="Times New Roman"/>
          <w:i w:val="0"/>
          <w:iCs w:val="0"/>
          <w:caps w:val="0"/>
          <w:color w:val="auto"/>
          <w:spacing w:val="0"/>
          <w:kern w:val="0"/>
          <w:sz w:val="32"/>
          <w:szCs w:val="32"/>
          <w:highlight w:val="none"/>
          <w:shd w:val="clear" w:color="auto" w:fill="FFFFFF"/>
          <w:lang w:eastAsia="zh-CN"/>
        </w:rPr>
        <w:t>对同一投资主体内部划转土地使用权、房屋等建筑物和构筑物所有权、股权书立的产权转移书据，免征印花税。</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1.</w:t>
      </w:r>
      <w:r>
        <w:rPr>
          <w:rFonts w:hint="eastAsia" w:ascii="黑体" w:hAnsi="黑体" w:eastAsia="黑体" w:cs="黑体"/>
          <w:b w:val="0"/>
          <w:i w:val="0"/>
          <w:iCs w:val="0"/>
          <w:caps w:val="0"/>
          <w:color w:val="auto"/>
          <w:spacing w:val="0"/>
          <w:kern w:val="0"/>
          <w:sz w:val="32"/>
          <w:szCs w:val="32"/>
          <w:highlight w:val="none"/>
          <w:shd w:val="clear" w:color="auto" w:fill="FFFFFF"/>
          <w:lang w:eastAsia="zh-CN"/>
        </w:rPr>
        <w:t>《中华人民共和国印花税法》</w:t>
      </w:r>
    </w:p>
    <w:p>
      <w:pPr>
        <w:keepNext w:val="0"/>
        <w:keepLines w:val="0"/>
        <w:pageBreakBefore w:val="0"/>
        <w:widowControl w:val="0"/>
        <w:suppressLineNumbers w:val="0"/>
        <w:pBdr>
          <w:top w:val="none" w:color="auto" w:sz="0" w:space="0"/>
          <w:left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left="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rPr>
      </w:pPr>
      <w:r>
        <w:rPr>
          <w:rFonts w:hint="eastAsia" w:ascii="黑体" w:hAnsi="黑体" w:eastAsia="黑体" w:cs="黑体"/>
          <w:b w:val="0"/>
          <w:i w:val="0"/>
          <w:iCs w:val="0"/>
          <w:caps w:val="0"/>
          <w:color w:val="auto"/>
          <w:spacing w:val="0"/>
          <w:kern w:val="0"/>
          <w:sz w:val="32"/>
          <w:szCs w:val="32"/>
          <w:highlight w:val="none"/>
          <w:shd w:val="clear" w:color="auto" w:fill="FFFFFF"/>
          <w:lang w:val="en-US" w:eastAsia="zh-CN"/>
        </w:rPr>
        <w:t>2.《财政部 税务总局关于企业改制重组及事业单位改制有关印花税政策的公告》（财政部 税务总局公告2024年第14号）</w:t>
      </w:r>
    </w:p>
    <w:p>
      <w:pPr>
        <w:pageBreakBefore w:val="0"/>
        <w:kinsoku/>
        <w:wordWrap/>
        <w:overflowPunct/>
        <w:topLinePunct w:val="0"/>
        <w:autoSpaceDE/>
        <w:autoSpaceDN/>
        <w:bidi w:val="0"/>
        <w:adjustRightInd/>
        <w:snapToGrid/>
        <w:spacing w:line="360" w:lineRule="auto"/>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auto"/>
          <w:lang w:val="en-US" w:eastAsia="zh-CN"/>
        </w:rPr>
      </w:pPr>
    </w:p>
    <w:p>
      <w:pPr>
        <w:pageBreakBefore w:val="0"/>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val="0"/>
          <w:color w:val="auto"/>
          <w:kern w:val="0"/>
          <w:sz w:val="32"/>
          <w:szCs w:val="32"/>
          <w:highlight w:val="none"/>
          <w:shd w:val="clear" w:color="auto" w:fill="FFFFFF"/>
          <w:lang w:eastAsia="zh-CN"/>
        </w:rPr>
      </w:pPr>
      <w:bookmarkStart w:id="293" w:name="_Toc3341"/>
      <w:bookmarkStart w:id="294" w:name="_Toc4888"/>
      <w:r>
        <w:rPr>
          <w:rFonts w:hint="eastAsia" w:ascii="仿宋_GB2312" w:hAnsi="仿宋_GB2312" w:eastAsia="仿宋_GB2312" w:cs="仿宋_GB2312"/>
          <w:b/>
          <w:bCs w:val="0"/>
          <w:color w:val="auto"/>
          <w:kern w:val="0"/>
          <w:sz w:val="32"/>
          <w:szCs w:val="32"/>
          <w:highlight w:val="none"/>
          <w:shd w:val="clear" w:color="auto" w:fill="FFFFFF"/>
          <w:lang w:val="en-US" w:eastAsia="zh-CN"/>
        </w:rPr>
        <w:t>2.项目</w:t>
      </w:r>
      <w:r>
        <w:rPr>
          <w:rFonts w:hint="eastAsia" w:ascii="仿宋_GB2312" w:hAnsi="仿宋_GB2312" w:eastAsia="仿宋_GB2312" w:cs="仿宋_GB2312"/>
          <w:b/>
          <w:bCs w:val="0"/>
          <w:color w:val="auto"/>
          <w:kern w:val="0"/>
          <w:sz w:val="32"/>
          <w:szCs w:val="32"/>
          <w:highlight w:val="none"/>
          <w:shd w:val="clear" w:color="auto" w:fill="FFFFFF"/>
        </w:rPr>
        <w:t>撤资清算</w:t>
      </w:r>
      <w:r>
        <w:rPr>
          <w:rFonts w:hint="eastAsia" w:ascii="仿宋_GB2312" w:hAnsi="仿宋_GB2312" w:eastAsia="仿宋_GB2312" w:cs="仿宋_GB2312"/>
          <w:b/>
          <w:bCs w:val="0"/>
          <w:color w:val="auto"/>
          <w:kern w:val="0"/>
          <w:sz w:val="32"/>
          <w:szCs w:val="32"/>
          <w:highlight w:val="none"/>
          <w:shd w:val="clear" w:color="auto" w:fill="FFFFFF"/>
          <w:lang w:eastAsia="zh-CN"/>
        </w:rPr>
        <w:t>税收政策</w:t>
      </w:r>
      <w:bookmarkEnd w:id="289"/>
      <w:bookmarkEnd w:id="290"/>
      <w:bookmarkEnd w:id="293"/>
      <w:bookmarkEnd w:id="294"/>
    </w:p>
    <w:p>
      <w:pPr>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val="0"/>
          <w:color w:val="auto"/>
          <w:kern w:val="0"/>
          <w:sz w:val="32"/>
          <w:szCs w:val="32"/>
          <w:highlight w:val="none"/>
          <w:shd w:val="clear" w:color="auto" w:fill="FFFFFF"/>
        </w:rPr>
      </w:pPr>
      <w:bookmarkStart w:id="295" w:name="_Toc26718"/>
      <w:bookmarkStart w:id="296" w:name="_Toc31441"/>
      <w:bookmarkStart w:id="297" w:name="_Toc21880"/>
      <w:bookmarkStart w:id="298" w:name="_Toc163"/>
      <w:r>
        <w:rPr>
          <w:rFonts w:hint="eastAsia" w:ascii="仿宋_GB2312" w:hAnsi="仿宋_GB2312" w:eastAsia="仿宋_GB2312" w:cs="仿宋_GB2312"/>
          <w:b/>
          <w:bCs w:val="0"/>
          <w:color w:val="auto"/>
          <w:kern w:val="0"/>
          <w:sz w:val="32"/>
          <w:szCs w:val="32"/>
          <w:highlight w:val="none"/>
          <w:shd w:val="clear" w:color="auto" w:fill="FFFFFF"/>
          <w:lang w:val="en-US" w:eastAsia="zh-CN"/>
        </w:rPr>
        <w:t>（1）</w:t>
      </w:r>
      <w:r>
        <w:rPr>
          <w:rFonts w:hint="eastAsia" w:ascii="仿宋_GB2312" w:hAnsi="仿宋_GB2312" w:eastAsia="仿宋_GB2312" w:cs="仿宋_GB2312"/>
          <w:b/>
          <w:bCs w:val="0"/>
          <w:color w:val="auto"/>
          <w:kern w:val="0"/>
          <w:sz w:val="32"/>
          <w:szCs w:val="32"/>
          <w:highlight w:val="none"/>
          <w:shd w:val="clear" w:color="auto" w:fill="FFFFFF"/>
        </w:rPr>
        <w:t>企业</w:t>
      </w:r>
      <w:r>
        <w:rPr>
          <w:rFonts w:hint="eastAsia" w:ascii="仿宋_GB2312" w:hAnsi="仿宋_GB2312" w:eastAsia="仿宋_GB2312" w:cs="仿宋_GB2312"/>
          <w:b/>
          <w:bCs w:val="0"/>
          <w:color w:val="auto"/>
          <w:kern w:val="0"/>
          <w:sz w:val="32"/>
          <w:szCs w:val="32"/>
          <w:highlight w:val="none"/>
          <w:shd w:val="clear" w:color="auto" w:fill="FFFFFF"/>
          <w:lang w:eastAsia="zh-CN"/>
        </w:rPr>
        <w:t>减资</w:t>
      </w:r>
      <w:r>
        <w:rPr>
          <w:rFonts w:hint="eastAsia" w:ascii="仿宋_GB2312" w:hAnsi="仿宋_GB2312" w:eastAsia="仿宋_GB2312" w:cs="仿宋_GB2312"/>
          <w:b/>
          <w:bCs w:val="0"/>
          <w:color w:val="auto"/>
          <w:kern w:val="0"/>
          <w:sz w:val="32"/>
          <w:szCs w:val="32"/>
          <w:highlight w:val="none"/>
          <w:shd w:val="clear" w:color="auto" w:fill="FFFFFF"/>
        </w:rPr>
        <w:t>业务涉及税收政策</w:t>
      </w:r>
      <w:bookmarkEnd w:id="295"/>
      <w:bookmarkEnd w:id="296"/>
      <w:bookmarkEnd w:id="297"/>
      <w:bookmarkEnd w:id="298"/>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pStyle w:val="16"/>
        <w:keepNext w:val="0"/>
        <w:keepLines w:val="0"/>
        <w:pageBreakBefore w:val="0"/>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shd w:val="clear" w:color="auto" w:fill="FFFFFF"/>
          <w:lang w:val="en-US" w:eastAsia="zh-CN" w:bidi="ar-SA"/>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bidi="ar-SA"/>
        </w:rPr>
        <w:t>进行撤资减资操作的投资企业及被投资企业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pStyle w:val="5"/>
        <w:pageBreakBefore w:val="0"/>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rPr>
        <w:t>撤资减资会涉及股东层面和被投资企业</w:t>
      </w:r>
      <w:r>
        <w:rPr>
          <w:rFonts w:hint="eastAsia" w:ascii="仿宋_GB2312" w:hAnsi="仿宋_GB2312" w:eastAsia="仿宋_GB2312" w:cs="仿宋_GB2312"/>
          <w:color w:val="auto"/>
          <w:kern w:val="0"/>
          <w:sz w:val="32"/>
          <w:szCs w:val="32"/>
          <w:highlight w:val="none"/>
          <w:shd w:val="clear" w:color="auto" w:fill="FFFFFF"/>
          <w:lang w:val="en-US" w:eastAsia="zh-CN"/>
        </w:rPr>
        <w:t>层面</w:t>
      </w:r>
      <w:r>
        <w:rPr>
          <w:rFonts w:hint="eastAsia" w:ascii="仿宋_GB2312" w:hAnsi="仿宋_GB2312" w:eastAsia="仿宋_GB2312" w:cs="仿宋_GB2312"/>
          <w:color w:val="auto"/>
          <w:kern w:val="0"/>
          <w:sz w:val="32"/>
          <w:szCs w:val="32"/>
          <w:highlight w:val="none"/>
          <w:shd w:val="clear" w:color="auto" w:fill="FFFFFF"/>
        </w:rPr>
        <w:t>的涉税问题。</w:t>
      </w:r>
    </w:p>
    <w:p>
      <w:pPr>
        <w:pStyle w:val="5"/>
        <w:pageBreakBefore w:val="0"/>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en-US" w:eastAsia="zh-CN"/>
        </w:rPr>
        <w:t>一是</w:t>
      </w:r>
      <w:r>
        <w:rPr>
          <w:rFonts w:hint="eastAsia" w:ascii="仿宋_GB2312" w:hAnsi="仿宋_GB2312" w:eastAsia="仿宋_GB2312" w:cs="仿宋_GB2312"/>
          <w:color w:val="auto"/>
          <w:kern w:val="0"/>
          <w:sz w:val="32"/>
          <w:szCs w:val="32"/>
          <w:highlight w:val="none"/>
          <w:shd w:val="clear" w:color="auto" w:fill="FFFFFF"/>
        </w:rPr>
        <w:t>股东层面</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kern w:val="0"/>
          <w:sz w:val="32"/>
          <w:szCs w:val="32"/>
          <w:highlight w:val="none"/>
          <w:shd w:val="clear" w:color="auto" w:fill="FFFFFF"/>
          <w:lang w:val="en-US" w:eastAsia="zh-CN"/>
        </w:rPr>
        <w:t>分别涉及增值税、印花税、所得税等税种。</w:t>
      </w:r>
      <w:r>
        <w:rPr>
          <w:rFonts w:hint="eastAsia" w:ascii="仿宋_GB2312" w:hAnsi="仿宋_GB2312" w:eastAsia="仿宋_GB2312" w:cs="仿宋_GB2312"/>
          <w:color w:val="auto"/>
          <w:kern w:val="0"/>
          <w:sz w:val="32"/>
          <w:szCs w:val="32"/>
          <w:highlight w:val="none"/>
          <w:shd w:val="clear" w:color="auto" w:fill="FFFFFF"/>
        </w:rPr>
        <w:t>如果上市公司以股票回购方式减资撤资，被回购方应按照“金融商品转让”项目</w:t>
      </w:r>
      <w:r>
        <w:rPr>
          <w:rFonts w:hint="eastAsia" w:ascii="仿宋_GB2312" w:hAnsi="仿宋_GB2312" w:eastAsia="仿宋_GB2312" w:cs="仿宋_GB2312"/>
          <w:color w:val="auto"/>
          <w:kern w:val="0"/>
          <w:sz w:val="32"/>
          <w:szCs w:val="32"/>
          <w:highlight w:val="none"/>
          <w:shd w:val="clear" w:color="auto" w:fill="FFFFFF"/>
          <w:lang w:eastAsia="zh-CN"/>
        </w:rPr>
        <w:t>计算</w:t>
      </w:r>
      <w:r>
        <w:rPr>
          <w:rFonts w:hint="eastAsia" w:ascii="仿宋_GB2312" w:hAnsi="仿宋_GB2312" w:eastAsia="仿宋_GB2312" w:cs="仿宋_GB2312"/>
          <w:color w:val="auto"/>
          <w:kern w:val="0"/>
          <w:sz w:val="32"/>
          <w:szCs w:val="32"/>
          <w:highlight w:val="none"/>
          <w:shd w:val="clear" w:color="auto" w:fill="FFFFFF"/>
        </w:rPr>
        <w:t>缴纳增值税。</w:t>
      </w:r>
      <w:r>
        <w:rPr>
          <w:rFonts w:hint="eastAsia" w:ascii="仿宋_GB2312" w:hAnsi="仿宋_GB2312" w:eastAsia="仿宋_GB2312" w:cs="仿宋_GB2312"/>
          <w:color w:val="auto"/>
          <w:kern w:val="0"/>
          <w:sz w:val="32"/>
          <w:szCs w:val="32"/>
          <w:highlight w:val="none"/>
          <w:shd w:val="clear" w:color="auto" w:fill="FFFFFF"/>
          <w:lang w:eastAsia="zh-CN"/>
        </w:rPr>
        <w:t>如</w:t>
      </w:r>
      <w:r>
        <w:rPr>
          <w:rFonts w:hint="eastAsia" w:ascii="仿宋_GB2312" w:hAnsi="仿宋_GB2312" w:eastAsia="仿宋_GB2312" w:cs="仿宋_GB2312"/>
          <w:color w:val="auto"/>
          <w:kern w:val="0"/>
          <w:sz w:val="32"/>
          <w:szCs w:val="32"/>
          <w:highlight w:val="none"/>
          <w:shd w:val="clear" w:color="auto" w:fill="FFFFFF"/>
        </w:rPr>
        <w:t>被回购方是个人，对于个人被回购上市公司股票免征增值税。</w:t>
      </w:r>
    </w:p>
    <w:p>
      <w:pPr>
        <w:pStyle w:val="5"/>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FFFFFF"/>
          <w:lang w:eastAsia="zh-CN"/>
        </w:rPr>
      </w:pPr>
      <w:r>
        <w:rPr>
          <w:rFonts w:hint="eastAsia" w:ascii="仿宋_GB2312" w:hAnsi="仿宋_GB2312" w:eastAsia="仿宋_GB2312" w:cs="仿宋_GB2312"/>
          <w:color w:val="auto"/>
          <w:kern w:val="0"/>
          <w:sz w:val="32"/>
          <w:szCs w:val="32"/>
          <w:highlight w:val="none"/>
          <w:shd w:val="clear" w:color="auto" w:fill="FFFFFF"/>
        </w:rPr>
        <w:t>若是企业减少注册资本，根据股东是法人企业及个人的不同情况</w:t>
      </w:r>
      <w:r>
        <w:rPr>
          <w:rFonts w:hint="eastAsia" w:ascii="仿宋_GB2312" w:hAnsi="仿宋_GB2312" w:eastAsia="仿宋_GB2312" w:cs="仿宋_GB2312"/>
          <w:color w:val="auto"/>
          <w:kern w:val="0"/>
          <w:sz w:val="32"/>
          <w:szCs w:val="32"/>
          <w:highlight w:val="none"/>
          <w:shd w:val="clear" w:color="auto" w:fill="FFFFFF"/>
          <w:lang w:eastAsia="zh-CN"/>
        </w:rPr>
        <w:t>：</w:t>
      </w:r>
    </w:p>
    <w:p>
      <w:pPr>
        <w:pStyle w:val="5"/>
        <w:pageBreakBefore w:val="0"/>
        <w:widowControl/>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en-US" w:eastAsia="zh-CN"/>
        </w:rPr>
        <w:t>1.</w:t>
      </w:r>
      <w:r>
        <w:rPr>
          <w:rFonts w:hint="eastAsia" w:ascii="仿宋_GB2312" w:hAnsi="仿宋_GB2312" w:eastAsia="仿宋_GB2312" w:cs="仿宋_GB2312"/>
          <w:color w:val="auto"/>
          <w:kern w:val="0"/>
          <w:sz w:val="32"/>
          <w:szCs w:val="32"/>
          <w:highlight w:val="none"/>
          <w:shd w:val="clear" w:color="auto" w:fill="FFFFFF"/>
        </w:rPr>
        <w:t>企业股东：投资企业从被投资企业撤回或减少投资分为三步，第一，相当于初始投资的部分确认为投资收回</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kern w:val="0"/>
          <w:sz w:val="32"/>
          <w:szCs w:val="32"/>
          <w:highlight w:val="none"/>
          <w:shd w:val="clear" w:color="auto" w:fill="FFFFFF"/>
        </w:rPr>
        <w:t>第二，相当于被投资企业累计未分配利润和累计盈余公积按减少实收资本比例计算的部分应确认为股息所得</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kern w:val="0"/>
          <w:sz w:val="32"/>
          <w:szCs w:val="32"/>
          <w:highlight w:val="none"/>
          <w:shd w:val="clear" w:color="auto" w:fill="FFFFFF"/>
        </w:rPr>
        <w:t>第三，剩余部分确认为投资资产转让所得，即财产转让收益。另外，被投资企业发生的经营亏损，由被投资企业按规定结转弥补</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kern w:val="0"/>
          <w:sz w:val="32"/>
          <w:szCs w:val="32"/>
          <w:highlight w:val="none"/>
          <w:shd w:val="clear" w:color="auto" w:fill="FFFFFF"/>
        </w:rPr>
        <w:t>投资企业不得调整减低其投资成本，也不得将其确认为投资损失。</w:t>
      </w:r>
    </w:p>
    <w:p>
      <w:pPr>
        <w:pStyle w:val="5"/>
        <w:pageBreakBefore w:val="0"/>
        <w:widowControl/>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rPr>
        <w:t>其中，上述关于股息所得的企业所得税问题，非居民企业股东则应该按照取得股息适用的税收政策（含税收协定规定）计算缴纳预提所得税，剩余部分确认为股权转让所得。</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en-US" w:eastAsia="zh-CN"/>
        </w:rPr>
        <w:t>2.</w:t>
      </w:r>
      <w:r>
        <w:rPr>
          <w:rFonts w:hint="eastAsia" w:ascii="仿宋_GB2312" w:hAnsi="仿宋_GB2312" w:eastAsia="仿宋_GB2312" w:cs="仿宋_GB2312"/>
          <w:color w:val="auto"/>
          <w:kern w:val="0"/>
          <w:sz w:val="32"/>
          <w:szCs w:val="32"/>
          <w:highlight w:val="none"/>
          <w:shd w:val="clear" w:color="auto" w:fill="FFFFFF"/>
        </w:rPr>
        <w:t>个人股东：个人因各种原因终止投资、联营、经营合作等行为，从被投资企业或合作项目、被投资企业的其他投资者以及合作项目的经营合作人取得股权转让收入、违约金、补偿金、赔偿金及以其他名目收回的款项等，均属于个人所得税应税收入，应按照“财产转让所得”项目适用的规定计算缴纳个人所得税。</w:t>
      </w:r>
    </w:p>
    <w:p>
      <w:pPr>
        <w:pStyle w:val="5"/>
        <w:pageBreakBefore w:val="0"/>
        <w:kinsoku/>
        <w:wordWrap/>
        <w:overflowPunct/>
        <w:topLinePunct w:val="0"/>
        <w:autoSpaceDE/>
        <w:autoSpaceDN/>
        <w:bidi w:val="0"/>
        <w:adjustRightInd/>
        <w:snapToGrid/>
        <w:spacing w:line="360" w:lineRule="auto"/>
        <w:ind w:firstLine="560"/>
        <w:jc w:val="both"/>
        <w:textAlignment w:val="auto"/>
        <w:outlineLvl w:val="9"/>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en-US" w:eastAsia="zh-CN"/>
        </w:rPr>
        <w:t>二是</w:t>
      </w:r>
      <w:r>
        <w:rPr>
          <w:rFonts w:hint="eastAsia" w:ascii="仿宋_GB2312" w:hAnsi="仿宋_GB2312" w:eastAsia="仿宋_GB2312" w:cs="仿宋_GB2312"/>
          <w:color w:val="auto"/>
          <w:kern w:val="0"/>
          <w:sz w:val="32"/>
          <w:szCs w:val="32"/>
          <w:highlight w:val="none"/>
          <w:shd w:val="clear" w:color="auto" w:fill="FFFFFF"/>
          <w:lang w:eastAsia="zh-CN"/>
        </w:rPr>
        <w:t>被投资企业</w:t>
      </w:r>
      <w:r>
        <w:rPr>
          <w:rFonts w:hint="eastAsia" w:ascii="仿宋_GB2312" w:hAnsi="仿宋_GB2312" w:eastAsia="仿宋_GB2312" w:cs="仿宋_GB2312"/>
          <w:color w:val="auto"/>
          <w:kern w:val="0"/>
          <w:sz w:val="32"/>
          <w:szCs w:val="32"/>
          <w:highlight w:val="none"/>
          <w:shd w:val="clear" w:color="auto" w:fill="FFFFFF"/>
          <w:lang w:val="en-US" w:eastAsia="zh-CN"/>
        </w:rPr>
        <w:t>层面</w:t>
      </w:r>
      <w:r>
        <w:rPr>
          <w:rFonts w:hint="eastAsia" w:ascii="仿宋_GB2312" w:hAnsi="仿宋_GB2312" w:eastAsia="仿宋_GB2312" w:cs="仿宋_GB2312"/>
          <w:color w:val="auto"/>
          <w:kern w:val="0"/>
          <w:sz w:val="32"/>
          <w:szCs w:val="32"/>
          <w:highlight w:val="none"/>
          <w:shd w:val="clear" w:color="auto" w:fill="FFFFFF"/>
          <w:lang w:eastAsia="zh-CN"/>
        </w:rPr>
        <w:t>，若是</w:t>
      </w:r>
      <w:r>
        <w:rPr>
          <w:rFonts w:hint="eastAsia" w:ascii="仿宋_GB2312" w:hAnsi="仿宋_GB2312" w:eastAsia="仿宋_GB2312" w:cs="仿宋_GB2312"/>
          <w:color w:val="auto"/>
          <w:kern w:val="0"/>
          <w:sz w:val="32"/>
          <w:szCs w:val="32"/>
          <w:highlight w:val="none"/>
          <w:shd w:val="clear" w:color="auto" w:fill="FFFFFF"/>
        </w:rPr>
        <w:t>以现金资产进行减资撤资</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kern w:val="0"/>
          <w:sz w:val="32"/>
          <w:szCs w:val="32"/>
          <w:highlight w:val="none"/>
          <w:shd w:val="clear" w:color="auto" w:fill="FFFFFF"/>
        </w:rPr>
        <w:t>该行为是股东之间的权益性交易行为，对被投资企业而言原则上不涉及企业所得税问题。</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1.</w:t>
      </w:r>
      <w:r>
        <w:rPr>
          <w:rFonts w:hint="eastAsia" w:ascii="黑体" w:hAnsi="黑体" w:eastAsia="黑体" w:cs="黑体"/>
          <w:color w:val="auto"/>
          <w:sz w:val="32"/>
          <w:szCs w:val="32"/>
          <w:highlight w:val="none"/>
          <w:shd w:val="clear" w:color="auto" w:fill="FFFFFF"/>
        </w:rPr>
        <w:t>《财政部 国家税务总局关于全面推开营业税改征增值税试点的通知》（财税〔2016〕36号）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2.</w:t>
      </w:r>
      <w:r>
        <w:rPr>
          <w:rFonts w:hint="eastAsia" w:ascii="黑体" w:hAnsi="黑体" w:eastAsia="黑体" w:cs="黑体"/>
          <w:color w:val="auto"/>
          <w:sz w:val="32"/>
          <w:szCs w:val="32"/>
          <w:highlight w:val="none"/>
          <w:shd w:val="clear" w:color="auto" w:fill="FFFFFF"/>
        </w:rPr>
        <w:t>《国家税务总局关于企业所得税若干问题的公告》（2011年第34号）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3.</w:t>
      </w:r>
      <w:r>
        <w:rPr>
          <w:rFonts w:hint="eastAsia" w:ascii="黑体" w:hAnsi="黑体" w:eastAsia="黑体" w:cs="黑体"/>
          <w:color w:val="auto"/>
          <w:sz w:val="32"/>
          <w:szCs w:val="32"/>
          <w:highlight w:val="none"/>
          <w:shd w:val="clear" w:color="auto" w:fill="FFFFFF"/>
        </w:rPr>
        <w:t>《国家税务总局关于个人终止投资经营收回款项征收个人所得税问题的公告》（国家税务总局公告2011年第41号）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val="en-US" w:eastAsia="zh-CN"/>
        </w:rPr>
        <w:t>4.</w:t>
      </w:r>
      <w:r>
        <w:rPr>
          <w:rFonts w:hint="eastAsia" w:ascii="黑体" w:hAnsi="黑体" w:eastAsia="黑体" w:cs="黑体"/>
          <w:color w:val="auto"/>
          <w:sz w:val="32"/>
          <w:szCs w:val="32"/>
          <w:highlight w:val="none"/>
          <w:shd w:val="clear" w:color="auto" w:fill="FFFFFF"/>
        </w:rPr>
        <w:t>《财政部 国家税务总局关于印发&lt;关于执行〈企业会计制度〉和相关会计准则有关问题解答（三）的通知》（财会〔2003〕29号）</w:t>
      </w:r>
    </w:p>
    <w:p>
      <w:pPr>
        <w:pageBreakBefore w:val="0"/>
        <w:widowControl/>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bookmarkStart w:id="299" w:name="_Toc21642"/>
      <w:bookmarkStart w:id="300" w:name="_Toc6150"/>
    </w:p>
    <w:p>
      <w:pPr>
        <w:pageBreakBefore w:val="0"/>
        <w:widowControl/>
        <w:kinsoku/>
        <w:wordWrap/>
        <w:overflowPunct/>
        <w:topLinePunct w:val="0"/>
        <w:autoSpaceDE/>
        <w:autoSpaceDN/>
        <w:bidi w:val="0"/>
        <w:adjustRightInd/>
        <w:snapToGrid/>
        <w:spacing w:line="360" w:lineRule="auto"/>
        <w:jc w:val="both"/>
        <w:textAlignment w:val="auto"/>
        <w:outlineLvl w:val="3"/>
        <w:rPr>
          <w:rFonts w:hint="eastAsia" w:ascii="仿宋_GB2312" w:hAnsi="仿宋_GB2312" w:eastAsia="仿宋_GB2312" w:cs="仿宋_GB2312"/>
          <w:b/>
          <w:bCs/>
          <w:color w:val="auto"/>
          <w:sz w:val="32"/>
          <w:szCs w:val="32"/>
          <w:highlight w:val="none"/>
        </w:rPr>
      </w:pPr>
      <w:bookmarkStart w:id="301" w:name="_Toc30405"/>
      <w:bookmarkStart w:id="302" w:name="_Toc23166"/>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rPr>
        <w:t>企业清算业务涉及税收政策</w:t>
      </w:r>
      <w:bookmarkEnd w:id="299"/>
      <w:bookmarkEnd w:id="300"/>
      <w:bookmarkEnd w:id="301"/>
      <w:bookmarkEnd w:id="302"/>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lang w:eastAsia="zh-CN"/>
        </w:rPr>
      </w:pPr>
      <w:r>
        <w:rPr>
          <w:rFonts w:hint="eastAsia" w:asciiTheme="minorEastAsia" w:hAnsiTheme="minorEastAsia" w:eastAsiaTheme="minorEastAsia" w:cstheme="minorEastAsia"/>
          <w:bCs/>
          <w:color w:val="auto"/>
          <w:sz w:val="32"/>
          <w:szCs w:val="32"/>
          <w:highlight w:val="none"/>
          <w:shd w:val="clear" w:color="auto" w:fill="FFFFFF"/>
          <w:lang w:eastAsia="zh-CN"/>
        </w:rPr>
        <w:t>【适用主体】</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s="Times New Roman"/>
          <w:color w:val="auto"/>
          <w:sz w:val="32"/>
          <w:szCs w:val="32"/>
          <w:highlight w:val="none"/>
          <w:shd w:val="clear" w:color="auto" w:fill="FFFFFF"/>
          <w:lang w:val="en-US" w:eastAsia="zh-CN"/>
        </w:rPr>
      </w:pPr>
      <w:r>
        <w:rPr>
          <w:rFonts w:hint="eastAsia" w:ascii="仿宋_GB2312" w:eastAsia="仿宋_GB2312" w:cs="Times New Roman"/>
          <w:color w:val="auto"/>
          <w:sz w:val="32"/>
          <w:szCs w:val="32"/>
          <w:highlight w:val="none"/>
          <w:shd w:val="clear" w:color="auto" w:fill="FFFFFF"/>
          <w:lang w:val="en-US" w:eastAsia="zh-CN"/>
        </w:rPr>
        <w:t>不再持续经营，发生结束自身业务、处置资产、偿还债务以及向所有者分配剩余财产等经济行为的企业</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r>
        <w:rPr>
          <w:rFonts w:hint="eastAsia" w:asciiTheme="minorEastAsia" w:hAnsiTheme="minorEastAsia" w:eastAsiaTheme="minorEastAsia" w:cstheme="minorEastAsia"/>
          <w:bCs/>
          <w:color w:val="auto"/>
          <w:sz w:val="32"/>
          <w:szCs w:val="32"/>
          <w:highlight w:val="none"/>
          <w:shd w:val="clear" w:color="auto" w:fill="FFFFFF"/>
          <w:lang w:eastAsia="zh-CN"/>
        </w:rPr>
        <w:t>【政策规定】</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企业清算业务共分为被清算企业、被清算企业股东两个维度的清算所得处理，同时需要注意增值税、土地增值税等其他税种的处理。</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1.被清算企业的清算所得的税务处理：企业的全部资产可变现价值或交易价格，减除资产的计税基础、清算费用、相关税费，加上债务清偿损益等后的余额，为清算所得。企业清算时，应当以整个清算期间作为一个纳税年度，依法计算清算所得及其应纳所得税。企业应当自清算结束之日起15日内，向主管税务机关报送企业清算所得税纳税申报表，结清税款。</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2.被清算企业股东的清算所得的税务处理：被清算企业的股东，包括企业股东和个人股东，涉及到企业所得税和个人所得税的处理。对于被清算企业的股东，从被清算企业剩余财产中分回的财产，超出其投资成本（计税基础），分情况适用不同的税种及税目。</w:t>
      </w:r>
    </w:p>
    <w:tbl>
      <w:tblPr>
        <w:tblStyle w:val="18"/>
        <w:tblpPr w:leftFromText="180" w:rightFromText="180" w:vertAnchor="text" w:horzAnchor="page" w:tblpX="1172" w:tblpY="461"/>
        <w:tblOverlap w:val="never"/>
        <w:tblW w:w="908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1167"/>
        <w:gridCol w:w="1346"/>
        <w:gridCol w:w="65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5" w:hRule="exact"/>
          <w:jc w:val="center"/>
        </w:trPr>
        <w:tc>
          <w:tcPr>
            <w:tcW w:w="1167" w:type="dxa"/>
            <w:tcBorders>
              <w:top w:val="single" w:color="auto" w:sz="4" w:space="0"/>
              <w:left w:val="single" w:color="auto" w:sz="4" w:space="0"/>
              <w:bottom w:val="nil"/>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Fonts w:hint="eastAsia" w:ascii="微软雅黑" w:hAnsi="微软雅黑" w:eastAsia="微软雅黑" w:cs="微软雅黑"/>
                <w:b/>
                <w:bCs/>
                <w:color w:val="auto"/>
                <w:kern w:val="0"/>
                <w:sz w:val="22"/>
                <w:szCs w:val="22"/>
                <w:highlight w:val="none"/>
                <w:lang w:val="en-US" w:bidi="ar"/>
              </w:rPr>
            </w:pPr>
            <w:r>
              <w:rPr>
                <w:rFonts w:hint="eastAsia" w:ascii="微软雅黑" w:hAnsi="微软雅黑" w:eastAsia="微软雅黑" w:cs="微软雅黑"/>
                <w:b/>
                <w:bCs/>
                <w:color w:val="auto"/>
                <w:kern w:val="0"/>
                <w:sz w:val="22"/>
                <w:szCs w:val="22"/>
                <w:highlight w:val="none"/>
                <w:lang w:val="en-US" w:bidi="ar"/>
              </w:rPr>
              <w:t>税种</w:t>
            </w:r>
          </w:p>
        </w:tc>
        <w:tc>
          <w:tcPr>
            <w:tcW w:w="1346" w:type="dxa"/>
            <w:tcBorders>
              <w:top w:val="single" w:color="auto" w:sz="4" w:space="0"/>
              <w:left w:val="single" w:color="auto" w:sz="4" w:space="0"/>
              <w:bottom w:val="nil"/>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Fonts w:hint="eastAsia" w:ascii="微软雅黑" w:hAnsi="微软雅黑" w:eastAsia="微软雅黑" w:cs="微软雅黑"/>
                <w:b/>
                <w:bCs/>
                <w:color w:val="auto"/>
                <w:kern w:val="0"/>
                <w:sz w:val="22"/>
                <w:szCs w:val="22"/>
                <w:highlight w:val="none"/>
                <w:lang w:val="en-US" w:bidi="ar"/>
              </w:rPr>
            </w:pPr>
            <w:r>
              <w:rPr>
                <w:rFonts w:hint="eastAsia" w:ascii="微软雅黑" w:hAnsi="微软雅黑" w:eastAsia="微软雅黑" w:cs="微软雅黑"/>
                <w:b/>
                <w:bCs/>
                <w:color w:val="auto"/>
                <w:kern w:val="0"/>
                <w:sz w:val="22"/>
                <w:szCs w:val="22"/>
                <w:highlight w:val="none"/>
                <w:lang w:val="en-US" w:bidi="ar"/>
              </w:rPr>
              <w:t>税目</w:t>
            </w:r>
          </w:p>
        </w:tc>
        <w:tc>
          <w:tcPr>
            <w:tcW w:w="6572" w:type="dxa"/>
            <w:tcBorders>
              <w:top w:val="single" w:color="auto" w:sz="4" w:space="0"/>
              <w:left w:val="single" w:color="auto" w:sz="4" w:space="0"/>
              <w:bottom w:val="nil"/>
              <w:right w:val="single" w:color="auto" w:sz="4" w:space="0"/>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Fonts w:hint="eastAsia" w:ascii="微软雅黑" w:hAnsi="微软雅黑" w:eastAsia="微软雅黑" w:cs="微软雅黑"/>
                <w:b/>
                <w:bCs/>
                <w:color w:val="auto"/>
                <w:kern w:val="0"/>
                <w:sz w:val="22"/>
                <w:szCs w:val="22"/>
                <w:highlight w:val="none"/>
                <w:lang w:val="en-US" w:bidi="ar"/>
              </w:rPr>
            </w:pPr>
            <w:r>
              <w:rPr>
                <w:rFonts w:hint="eastAsia" w:ascii="微软雅黑" w:hAnsi="微软雅黑" w:eastAsia="微软雅黑" w:cs="微软雅黑"/>
                <w:b/>
                <w:bCs/>
                <w:color w:val="auto"/>
                <w:kern w:val="0"/>
                <w:sz w:val="22"/>
                <w:szCs w:val="22"/>
                <w:highlight w:val="none"/>
                <w:lang w:val="en-US" w:bidi="ar"/>
              </w:rPr>
              <w:t>税收规定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160" w:hRule="exact"/>
          <w:jc w:val="center"/>
        </w:trPr>
        <w:tc>
          <w:tcPr>
            <w:tcW w:w="1167" w:type="dxa"/>
            <w:tcBorders>
              <w:top w:val="single" w:color="auto" w:sz="4" w:space="0"/>
              <w:left w:val="single" w:color="auto" w:sz="4" w:space="0"/>
              <w:bottom w:val="nil"/>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Style w:val="26"/>
                <w:rFonts w:hint="eastAsia" w:ascii="微软雅黑" w:hAnsi="微软雅黑" w:eastAsia="微软雅黑" w:cs="微软雅黑"/>
                <w:color w:val="auto"/>
                <w:sz w:val="18"/>
                <w:szCs w:val="18"/>
                <w:highlight w:val="none"/>
              </w:rPr>
            </w:pPr>
            <w:r>
              <w:rPr>
                <w:rFonts w:hint="eastAsia" w:ascii="微软雅黑" w:hAnsi="微软雅黑" w:eastAsia="微软雅黑" w:cs="微软雅黑"/>
                <w:b/>
                <w:bCs/>
                <w:color w:val="auto"/>
                <w:kern w:val="0"/>
                <w:sz w:val="22"/>
                <w:szCs w:val="22"/>
                <w:highlight w:val="none"/>
                <w:lang w:val="en-US" w:bidi="ar"/>
              </w:rPr>
              <w:t>企业所得税</w:t>
            </w:r>
          </w:p>
        </w:tc>
        <w:tc>
          <w:tcPr>
            <w:tcW w:w="1346" w:type="dxa"/>
            <w:tcBorders>
              <w:top w:val="single" w:color="auto" w:sz="4" w:space="0"/>
              <w:left w:val="single" w:color="auto" w:sz="4" w:space="0"/>
              <w:bottom w:val="nil"/>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Style w:val="26"/>
                <w:rFonts w:hint="eastAsia" w:ascii="微软雅黑" w:hAnsi="微软雅黑" w:eastAsia="微软雅黑" w:cs="微软雅黑"/>
                <w:color w:val="auto"/>
                <w:sz w:val="18"/>
                <w:szCs w:val="18"/>
                <w:highlight w:val="none"/>
              </w:rPr>
            </w:pPr>
            <w:r>
              <w:rPr>
                <w:rStyle w:val="26"/>
                <w:rFonts w:hint="eastAsia" w:ascii="微软雅黑" w:hAnsi="微软雅黑" w:eastAsia="微软雅黑" w:cs="微软雅黑"/>
                <w:color w:val="auto"/>
                <w:sz w:val="18"/>
                <w:szCs w:val="18"/>
                <w:highlight w:val="none"/>
              </w:rPr>
              <w:t>股息所得投资转让所得或损失</w:t>
            </w:r>
          </w:p>
        </w:tc>
        <w:tc>
          <w:tcPr>
            <w:tcW w:w="6572" w:type="dxa"/>
            <w:tcBorders>
              <w:top w:val="single" w:color="auto" w:sz="4" w:space="0"/>
              <w:left w:val="single" w:color="auto" w:sz="4" w:space="0"/>
              <w:bottom w:val="nil"/>
              <w:right w:val="single" w:color="auto" w:sz="4" w:space="0"/>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jc w:val="left"/>
              <w:rPr>
                <w:rStyle w:val="26"/>
                <w:rFonts w:hint="eastAsia" w:ascii="微软雅黑" w:hAnsi="微软雅黑" w:eastAsia="微软雅黑" w:cs="微软雅黑"/>
                <w:color w:val="auto"/>
                <w:sz w:val="18"/>
                <w:szCs w:val="18"/>
                <w:highlight w:val="none"/>
              </w:rPr>
            </w:pPr>
            <w:r>
              <w:rPr>
                <w:rStyle w:val="26"/>
                <w:rFonts w:hint="eastAsia" w:ascii="微软雅黑" w:hAnsi="微软雅黑" w:eastAsia="微软雅黑" w:cs="微软雅黑"/>
                <w:color w:val="auto"/>
                <w:sz w:val="18"/>
                <w:szCs w:val="18"/>
                <w:highlight w:val="none"/>
              </w:rPr>
              <w:t>被清算企业的股东分得的剩余资产的金额，其中相当于被清算企业累计未分配利润和累计盈余公积中按该股东所占股份比例计算的部分，应确认为股息所得；剩余资产减除股息所得后的余额，超过或低于股东投资成本的部分，应确认为股东的投资转让所得或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250" w:hRule="exact"/>
          <w:jc w:val="center"/>
        </w:trPr>
        <w:tc>
          <w:tcPr>
            <w:tcW w:w="1167" w:type="dxa"/>
            <w:tcBorders>
              <w:top w:val="single" w:color="auto" w:sz="4" w:space="0"/>
              <w:left w:val="single" w:color="auto" w:sz="4" w:space="0"/>
              <w:bottom w:val="single" w:color="auto" w:sz="4" w:space="0"/>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Style w:val="26"/>
                <w:rFonts w:hint="eastAsia" w:ascii="微软雅黑" w:hAnsi="微软雅黑" w:eastAsia="微软雅黑" w:cs="微软雅黑"/>
                <w:color w:val="auto"/>
                <w:sz w:val="18"/>
                <w:szCs w:val="18"/>
                <w:highlight w:val="none"/>
              </w:rPr>
            </w:pPr>
            <w:r>
              <w:rPr>
                <w:rFonts w:hint="eastAsia" w:ascii="微软雅黑" w:hAnsi="微软雅黑" w:eastAsia="微软雅黑" w:cs="微软雅黑"/>
                <w:b/>
                <w:bCs/>
                <w:color w:val="auto"/>
                <w:kern w:val="0"/>
                <w:sz w:val="22"/>
                <w:szCs w:val="22"/>
                <w:highlight w:val="none"/>
                <w:lang w:val="en-US" w:bidi="ar"/>
              </w:rPr>
              <w:t>个人所得税</w:t>
            </w:r>
          </w:p>
        </w:tc>
        <w:tc>
          <w:tcPr>
            <w:tcW w:w="1346" w:type="dxa"/>
            <w:tcBorders>
              <w:top w:val="single" w:color="auto" w:sz="4" w:space="0"/>
              <w:left w:val="single" w:color="auto" w:sz="4" w:space="0"/>
              <w:bottom w:val="single" w:color="auto" w:sz="4" w:space="0"/>
              <w:right w:val="nil"/>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rPr>
                <w:rStyle w:val="26"/>
                <w:rFonts w:hint="eastAsia" w:ascii="微软雅黑" w:hAnsi="微软雅黑" w:eastAsia="微软雅黑" w:cs="微软雅黑"/>
                <w:color w:val="auto"/>
                <w:sz w:val="18"/>
                <w:szCs w:val="18"/>
                <w:highlight w:val="none"/>
              </w:rPr>
            </w:pPr>
            <w:r>
              <w:rPr>
                <w:rStyle w:val="26"/>
                <w:rFonts w:hint="eastAsia" w:ascii="微软雅黑" w:hAnsi="微软雅黑" w:eastAsia="微软雅黑" w:cs="微软雅黑"/>
                <w:color w:val="auto"/>
                <w:sz w:val="18"/>
                <w:szCs w:val="18"/>
                <w:highlight w:val="none"/>
              </w:rPr>
              <w:t>财产转让所得</w:t>
            </w:r>
          </w:p>
        </w:tc>
        <w:tc>
          <w:tcPr>
            <w:tcW w:w="65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5"/>
              <w:keepNext w:val="0"/>
              <w:keepLines w:val="0"/>
              <w:suppressLineNumbers w:val="0"/>
              <w:spacing w:before="0" w:beforeLines="0" w:beforeAutospacing="0" w:after="0" w:afterLines="0" w:afterAutospacing="0" w:line="300" w:lineRule="exact"/>
              <w:ind w:left="0" w:right="0"/>
              <w:jc w:val="left"/>
              <w:rPr>
                <w:rStyle w:val="26"/>
                <w:rFonts w:hint="eastAsia" w:ascii="微软雅黑" w:hAnsi="微软雅黑" w:eastAsia="微软雅黑" w:cs="微软雅黑"/>
                <w:color w:val="auto"/>
                <w:sz w:val="18"/>
                <w:szCs w:val="18"/>
                <w:highlight w:val="none"/>
              </w:rPr>
            </w:pPr>
            <w:r>
              <w:rPr>
                <w:rStyle w:val="26"/>
                <w:rFonts w:hint="eastAsia" w:ascii="微软雅黑" w:hAnsi="微软雅黑" w:eastAsia="微软雅黑" w:cs="微软雅黑"/>
                <w:color w:val="auto"/>
                <w:sz w:val="18"/>
                <w:szCs w:val="18"/>
                <w:highlight w:val="none"/>
              </w:rPr>
              <w:t>个人因各种原因终止投资、联营、经营合作等行为，从被投资企业或合作项目、被投资企业的其他投资者以及合作项目的经营合作人取得 股权转让收入、违约金、补偿金、赔偿金及以其他名目收回的款项等，均属于个人所得税应税收入，应按照“财产转让所得”项目适用的规定计算缴纳个人所得税。</w:t>
            </w:r>
          </w:p>
        </w:tc>
      </w:tr>
    </w:tbl>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eastAsia="仿宋_GB2312"/>
          <w:color w:val="auto"/>
          <w:sz w:val="32"/>
          <w:szCs w:val="32"/>
          <w:highlight w:val="none"/>
          <w:shd w:val="clear" w:color="auto" w:fill="FFFFFF"/>
          <w:lang w:val="en-US" w:eastAsia="zh-CN"/>
        </w:rPr>
      </w:pPr>
      <w:bookmarkStart w:id="303" w:name="_Toc6366"/>
      <w:r>
        <w:rPr>
          <w:rFonts w:hint="eastAsia" w:ascii="仿宋_GB2312" w:eastAsia="仿宋_GB2312"/>
          <w:color w:val="auto"/>
          <w:sz w:val="32"/>
          <w:szCs w:val="32"/>
          <w:highlight w:val="none"/>
          <w:shd w:val="clear" w:color="auto" w:fill="FFFFFF"/>
          <w:lang w:val="en-US" w:eastAsia="zh-CN"/>
        </w:rPr>
        <w:t>3.企业清算涉及的其他税种处理：</w:t>
      </w:r>
      <w:bookmarkEnd w:id="303"/>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567" w:leftChars="0"/>
        <w:jc w:val="both"/>
        <w:textAlignment w:val="auto"/>
        <w:rPr>
          <w:rFonts w:hint="eastAsia" w:ascii="仿宋_GB2312" w:eastAsia="仿宋_GB2312"/>
          <w:b/>
          <w:bCs/>
          <w:color w:val="auto"/>
          <w:sz w:val="32"/>
          <w:szCs w:val="32"/>
          <w:highlight w:val="none"/>
          <w:shd w:val="clear" w:color="auto" w:fill="FFFFFF"/>
          <w:lang w:val="en-US" w:eastAsia="zh-CN"/>
        </w:rPr>
      </w:pPr>
      <w:r>
        <w:rPr>
          <w:rFonts w:hint="eastAsia" w:ascii="仿宋_GB2312" w:eastAsia="仿宋_GB2312"/>
          <w:b/>
          <w:bCs/>
          <w:color w:val="auto"/>
          <w:sz w:val="32"/>
          <w:szCs w:val="32"/>
          <w:highlight w:val="none"/>
          <w:shd w:val="clear" w:color="auto" w:fill="FFFFFF"/>
          <w:lang w:val="en-US" w:eastAsia="zh-CN"/>
        </w:rPr>
        <w:t>①增值税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企业清算过程中，清算企业可能会处置固定资产、存货、不动产、无形资产等，如果是转让给其他单位或个人的，按照销售货物、不动产、无形资产等计算缴纳增值税。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企业在资产重组中，将全部或者部分实物资产以及与其相关联的债权、负债和劳动力一并转让给其他单位和个人，其中涉及的货物、不动产、土地使用权转让，不属于增值税的征税范围，不征收增值税。</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567" w:leftChars="0"/>
        <w:jc w:val="both"/>
        <w:textAlignment w:val="auto"/>
        <w:rPr>
          <w:rFonts w:hint="eastAsia" w:ascii="仿宋_GB2312" w:eastAsia="仿宋_GB2312"/>
          <w:b/>
          <w:bCs/>
          <w:color w:val="auto"/>
          <w:sz w:val="32"/>
          <w:szCs w:val="32"/>
          <w:highlight w:val="none"/>
          <w:shd w:val="clear" w:color="auto" w:fill="FFFFFF"/>
          <w:lang w:val="en-US" w:eastAsia="zh-CN"/>
        </w:rPr>
      </w:pPr>
      <w:r>
        <w:rPr>
          <w:rFonts w:hint="eastAsia" w:ascii="仿宋_GB2312" w:eastAsia="仿宋_GB2312"/>
          <w:b/>
          <w:bCs/>
          <w:color w:val="auto"/>
          <w:sz w:val="32"/>
          <w:szCs w:val="32"/>
          <w:highlight w:val="none"/>
          <w:shd w:val="clear" w:color="auto" w:fill="FFFFFF"/>
          <w:lang w:val="en-US" w:eastAsia="zh-CN"/>
        </w:rPr>
        <w:t>②土地增值税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企业清算过程中，发生不动产转让并取得收入的，应依法缴纳土地增值税。</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如果企业为非房地产开发企业，且企业清算是因为企业合并、分立、作价入股投资引起的，不属于土地增值税的征税范围，其中涉及的不动产转让，不征收土地增值税。</w:t>
      </w:r>
    </w:p>
    <w:p>
      <w:pPr>
        <w:pStyle w:val="16"/>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color w:val="auto"/>
          <w:sz w:val="32"/>
          <w:szCs w:val="32"/>
          <w:highlight w:val="none"/>
          <w:shd w:val="clear" w:color="auto" w:fill="FFFFFF"/>
        </w:rPr>
      </w:pPr>
      <w:bookmarkStart w:id="304" w:name="OLE_LINK4"/>
      <w:r>
        <w:rPr>
          <w:rFonts w:hint="eastAsia" w:asciiTheme="minorEastAsia" w:hAnsiTheme="minorEastAsia" w:eastAsiaTheme="minorEastAsia" w:cstheme="minorEastAsia"/>
          <w:bCs/>
          <w:color w:val="auto"/>
          <w:sz w:val="32"/>
          <w:szCs w:val="32"/>
          <w:highlight w:val="none"/>
          <w:shd w:val="clear" w:color="auto" w:fill="FFFFFF"/>
          <w:lang w:eastAsia="zh-CN"/>
        </w:rPr>
        <w:t>【政策依据】</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val="en-US" w:eastAsia="zh-CN"/>
        </w:rPr>
        <w:t>1.《财政部 国家税务总局关于企业清算业务企业所得税处理若干问题的通知》</w:t>
      </w:r>
      <w:bookmarkEnd w:id="304"/>
      <w:r>
        <w:rPr>
          <w:rFonts w:hint="eastAsia" w:ascii="黑体" w:hAnsi="黑体" w:eastAsia="黑体" w:cs="黑体"/>
          <w:color w:val="auto"/>
          <w:sz w:val="32"/>
          <w:szCs w:val="32"/>
          <w:highlight w:val="none"/>
          <w:shd w:val="clear" w:color="auto" w:fill="FFFFFF"/>
          <w:lang w:val="en-US" w:eastAsia="zh-CN"/>
        </w:rPr>
        <w:t>（</w:t>
      </w:r>
      <w:bookmarkStart w:id="305" w:name="OLE_LINK5"/>
      <w:r>
        <w:rPr>
          <w:rFonts w:hint="eastAsia" w:ascii="黑体" w:hAnsi="黑体" w:eastAsia="黑体" w:cs="黑体"/>
          <w:color w:val="auto"/>
          <w:sz w:val="32"/>
          <w:szCs w:val="32"/>
          <w:highlight w:val="none"/>
          <w:shd w:val="clear" w:color="auto" w:fill="FFFFFF"/>
          <w:lang w:val="en-US" w:eastAsia="zh-CN"/>
        </w:rPr>
        <w:t>财税〔2009〕60号</w:t>
      </w:r>
      <w:bookmarkEnd w:id="305"/>
      <w:r>
        <w:rPr>
          <w:rFonts w:hint="eastAsia" w:ascii="黑体" w:hAnsi="黑体" w:eastAsia="黑体" w:cs="黑体"/>
          <w:color w:val="auto"/>
          <w:sz w:val="32"/>
          <w:szCs w:val="32"/>
          <w:highlight w:val="none"/>
          <w:shd w:val="clear" w:color="auto" w:fill="FFFFFF"/>
          <w:lang w:val="en-US" w:eastAsia="zh-CN"/>
        </w:rPr>
        <w:t>）</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val="en-US" w:eastAsia="zh-CN"/>
        </w:rPr>
        <w:t>2.《国家税务总局关于企业清算所得税有关问题的通知》（国税函〔2009〕684号）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val="en-US" w:eastAsia="zh-CN"/>
        </w:rPr>
        <w:t>3.《国家税务总局关于个人终止投资经营收回款项征收个人所得税问题的公告》（国家税务总局公告2011年第41号）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val="en-US" w:eastAsia="zh-CN"/>
        </w:rPr>
        <w:t>4.《国家税务总局关于纳税人资产重组有关增值税问题的公告》（国家税务总局公告2011年第13号）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val="en-US" w:eastAsia="zh-CN"/>
        </w:rPr>
        <w:t>5.《财政部 国家税务总局关于全面推开营业税改征增值税试点的通知》（财税〔2016〕36号）</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shd w:val="clear" w:color="auto" w:fill="FFFFFF"/>
          <w:lang w:val="en-US" w:eastAsia="zh-CN"/>
        </w:rPr>
        <w:t>6.《财政部 税务总局关于继续实施企业改制重组有关土地增值税政策的公告》（财政部 税务总局公告2023年第51号）</w:t>
      </w:r>
    </w:p>
    <w:p>
      <w:pPr>
        <w:rPr>
          <w:rFonts w:hint="default" w:ascii="楷体_GB2312" w:eastAsia="楷体_GB2312" w:cs="Times New Roman"/>
          <w:color w:val="auto"/>
          <w:sz w:val="32"/>
          <w:szCs w:val="32"/>
          <w:highlight w:val="none"/>
          <w:lang w:val="en-US" w:eastAsia="zh-CN"/>
        </w:rPr>
      </w:pPr>
      <w:r>
        <w:rPr>
          <w:rFonts w:hint="default" w:ascii="楷体_GB2312" w:eastAsia="楷体_GB2312" w:cs="Times New Roman"/>
          <w:color w:val="auto"/>
          <w:sz w:val="32"/>
          <w:szCs w:val="32"/>
          <w:highlight w:val="none"/>
          <w:lang w:val="en-US" w:eastAsia="zh-CN"/>
        </w:rPr>
        <w:br w:type="page"/>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outlineLvl w:val="0"/>
        <w:rPr>
          <w:rFonts w:hint="eastAsia" w:ascii="黑体" w:hAnsi="黑体" w:eastAsia="黑体" w:cs="黑体"/>
          <w:color w:val="auto"/>
          <w:sz w:val="32"/>
          <w:szCs w:val="32"/>
          <w:highlight w:val="none"/>
          <w:lang w:val="en-US" w:eastAsia="zh-CN"/>
        </w:rPr>
      </w:pPr>
      <w:bookmarkStart w:id="306" w:name="_Toc29657"/>
      <w:bookmarkStart w:id="307" w:name="_Toc17992"/>
      <w:r>
        <w:rPr>
          <w:rFonts w:hint="eastAsia" w:ascii="黑体" w:hAnsi="黑体" w:eastAsia="黑体" w:cs="黑体"/>
          <w:color w:val="auto"/>
          <w:sz w:val="32"/>
          <w:szCs w:val="32"/>
          <w:highlight w:val="none"/>
          <w:lang w:val="en-US" w:eastAsia="zh-CN"/>
        </w:rPr>
        <w:t>三、税收服务</w:t>
      </w:r>
      <w:bookmarkEnd w:id="306"/>
      <w:bookmarkEnd w:id="307"/>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08" w:name="_Toc19187"/>
      <w:bookmarkStart w:id="309" w:name="_Toc4424"/>
      <w:r>
        <w:rPr>
          <w:rFonts w:hint="eastAsia" w:ascii="楷体_GB2312" w:hAnsi="楷体_GB2312" w:eastAsia="楷体_GB2312" w:cs="楷体_GB2312"/>
          <w:color w:val="auto"/>
          <w:sz w:val="32"/>
          <w:szCs w:val="32"/>
          <w:highlight w:val="none"/>
          <w:lang w:val="en-US" w:eastAsia="zh-CN"/>
        </w:rPr>
        <w:t>（一）项目投资阶段</w:t>
      </w:r>
      <w:bookmarkEnd w:id="308"/>
      <w:bookmarkEnd w:id="309"/>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310" w:name="_Toc21985"/>
      <w:bookmarkStart w:id="311" w:name="_Toc17678"/>
      <w:r>
        <w:rPr>
          <w:rFonts w:hint="eastAsia" w:ascii="仿宋_GB2312" w:hAnsi="仿宋_GB2312" w:eastAsia="仿宋_GB2312" w:cs="仿宋_GB2312"/>
          <w:b/>
          <w:bCs/>
          <w:color w:val="auto"/>
          <w:sz w:val="32"/>
          <w:szCs w:val="32"/>
          <w:highlight w:val="none"/>
          <w:lang w:val="en-US" w:eastAsia="zh-CN"/>
        </w:rPr>
        <w:t>1.跨境纳税人缴费人常见问题解答</w:t>
      </w:r>
      <w:bookmarkEnd w:id="310"/>
      <w:bookmarkEnd w:id="311"/>
    </w:p>
    <w:p>
      <w:pPr>
        <w:spacing w:before="101" w:line="225" w:lineRule="auto"/>
        <w:outlineLvl w:val="3"/>
        <w:rPr>
          <w:highlight w:val="none"/>
        </w:rPr>
      </w:pPr>
      <w:bookmarkStart w:id="312" w:name="_Toc22838"/>
      <w:bookmarkStart w:id="313" w:name="_Toc25912"/>
      <w:r>
        <w:rPr>
          <w:rFonts w:ascii="宋体" w:hAnsi="宋体" w:eastAsia="宋体" w:cs="宋体"/>
          <w:b/>
          <w:bCs/>
          <w:spacing w:val="6"/>
          <w:sz w:val="31"/>
          <w:szCs w:val="31"/>
          <w:highlight w:val="none"/>
        </w:rPr>
        <w:t>【服务内容】</w:t>
      </w:r>
      <w:bookmarkEnd w:id="312"/>
      <w:bookmarkEnd w:id="313"/>
    </w:p>
    <w:p>
      <w:pPr>
        <w:spacing w:before="102" w:line="326" w:lineRule="auto"/>
        <w:ind w:left="20" w:firstLine="640"/>
        <w:rPr>
          <w:highlight w:val="none"/>
        </w:rPr>
      </w:pPr>
      <w:r>
        <w:rPr>
          <w:rFonts w:ascii="仿宋" w:hAnsi="仿宋" w:eastAsia="仿宋" w:cs="仿宋"/>
          <w:spacing w:val="9"/>
          <w:sz w:val="31"/>
          <w:szCs w:val="31"/>
          <w:highlight w:val="none"/>
        </w:rPr>
        <w:t>跨境纳税人缴费人常见问题解答由国家税务总局在官网发</w:t>
      </w:r>
      <w:r>
        <w:rPr>
          <w:rFonts w:ascii="仿宋" w:hAnsi="仿宋" w:eastAsia="仿宋" w:cs="仿宋"/>
          <w:spacing w:val="5"/>
          <w:sz w:val="31"/>
          <w:szCs w:val="31"/>
          <w:highlight w:val="none"/>
        </w:rPr>
        <w:t>布并持续更新，以问答形式对跨境投资者常见的在跨境办税场景</w:t>
      </w:r>
      <w:r>
        <w:rPr>
          <w:rFonts w:ascii="仿宋" w:hAnsi="仿宋" w:eastAsia="仿宋" w:cs="仿宋"/>
          <w:spacing w:val="2"/>
          <w:sz w:val="31"/>
          <w:szCs w:val="31"/>
          <w:highlight w:val="none"/>
        </w:rPr>
        <w:t xml:space="preserve"> </w:t>
      </w:r>
      <w:r>
        <w:rPr>
          <w:rFonts w:ascii="仿宋" w:hAnsi="仿宋" w:eastAsia="仿宋" w:cs="仿宋"/>
          <w:spacing w:val="5"/>
          <w:sz w:val="31"/>
          <w:szCs w:val="31"/>
          <w:highlight w:val="none"/>
        </w:rPr>
        <w:t>中咨询频率高、代表性强的问题进行解答并归集展示，及时响应</w:t>
      </w:r>
      <w:r>
        <w:rPr>
          <w:rFonts w:hint="eastAsia" w:ascii="仿宋" w:hAnsi="仿宋" w:eastAsia="仿宋" w:cs="仿宋"/>
          <w:sz w:val="31"/>
          <w:szCs w:val="31"/>
          <w:highlight w:val="none"/>
          <w:lang w:eastAsia="zh-CN"/>
        </w:rPr>
        <w:t>，</w:t>
      </w:r>
      <w:r>
        <w:rPr>
          <w:rFonts w:ascii="仿宋" w:hAnsi="仿宋" w:eastAsia="仿宋" w:cs="仿宋"/>
          <w:spacing w:val="7"/>
          <w:sz w:val="31"/>
          <w:szCs w:val="31"/>
          <w:highlight w:val="none"/>
        </w:rPr>
        <w:t>满足跨境纳税人具体涉税诉求。</w:t>
      </w:r>
    </w:p>
    <w:p>
      <w:pPr>
        <w:spacing w:before="101" w:line="227" w:lineRule="auto"/>
        <w:outlineLvl w:val="3"/>
        <w:rPr>
          <w:highlight w:val="none"/>
        </w:rPr>
      </w:pPr>
      <w:bookmarkStart w:id="314" w:name="_Toc30212"/>
      <w:bookmarkStart w:id="315" w:name="_Toc21322"/>
      <w:r>
        <w:rPr>
          <w:rFonts w:ascii="宋体" w:hAnsi="宋体" w:eastAsia="宋体" w:cs="宋体"/>
          <w:b/>
          <w:bCs/>
          <w:spacing w:val="6"/>
          <w:sz w:val="31"/>
          <w:szCs w:val="31"/>
          <w:highlight w:val="none"/>
        </w:rPr>
        <w:t>【更多资讯】</w:t>
      </w:r>
      <w:bookmarkEnd w:id="314"/>
      <w:bookmarkEnd w:id="315"/>
    </w:p>
    <w:p>
      <w:pPr>
        <w:keepNext w:val="0"/>
        <w:keepLines w:val="0"/>
        <w:pageBreakBefore w:val="0"/>
        <w:widowControl w:val="0"/>
        <w:kinsoku/>
        <w:wordWrap/>
        <w:overflowPunct/>
        <w:topLinePunct w:val="0"/>
        <w:autoSpaceDE/>
        <w:autoSpaceDN/>
        <w:bidi w:val="0"/>
        <w:adjustRightInd/>
        <w:snapToGrid/>
        <w:spacing w:before="101" w:line="360" w:lineRule="auto"/>
        <w:ind w:firstLine="652" w:firstLineChars="200"/>
        <w:textAlignment w:val="auto"/>
        <w:rPr>
          <w:rFonts w:hint="eastAsia" w:ascii="楷体_GB2312" w:hAnsi="楷体_GB2312" w:eastAsia="楷体_GB2312" w:cs="楷体_GB2312"/>
          <w:color w:val="auto"/>
          <w:sz w:val="32"/>
          <w:szCs w:val="32"/>
          <w:highlight w:val="none"/>
          <w:lang w:val="en-US" w:eastAsia="zh-CN"/>
        </w:rPr>
      </w:pPr>
      <w:r>
        <w:rPr>
          <w:rFonts w:ascii="仿宋" w:hAnsi="仿宋" w:eastAsia="仿宋" w:cs="仿宋"/>
          <w:spacing w:val="8"/>
          <w:sz w:val="31"/>
          <w:szCs w:val="31"/>
          <w:highlight w:val="none"/>
        </w:rPr>
        <w:t>欢迎查阅“跨境纳税人缴费人常见问题解答</w:t>
      </w:r>
      <w:r>
        <w:rPr>
          <w:rFonts w:ascii="仿宋" w:hAnsi="仿宋" w:eastAsia="仿宋" w:cs="仿宋"/>
          <w:spacing w:val="-100"/>
          <w:sz w:val="31"/>
          <w:szCs w:val="31"/>
          <w:highlight w:val="none"/>
        </w:rPr>
        <w:t xml:space="preserve"> </w:t>
      </w:r>
      <w:r>
        <w:rPr>
          <w:rFonts w:ascii="仿宋" w:hAnsi="仿宋" w:eastAsia="仿宋" w:cs="仿宋"/>
          <w:spacing w:val="8"/>
          <w:sz w:val="31"/>
          <w:szCs w:val="31"/>
          <w:highlight w:val="none"/>
        </w:rPr>
        <w:t>”</w:t>
      </w:r>
      <w:r>
        <w:rPr>
          <w:rFonts w:hint="eastAsia" w:ascii="仿宋" w:hAnsi="仿宋" w:eastAsia="仿宋" w:cs="仿宋"/>
          <w:spacing w:val="8"/>
          <w:sz w:val="31"/>
          <w:szCs w:val="31"/>
          <w:highlight w:val="none"/>
          <w:lang w:eastAsia="zh-CN"/>
        </w:rPr>
        <w:t>：</w:t>
      </w:r>
      <w:r>
        <w:rPr>
          <w:rFonts w:hint="default" w:ascii="Arial" w:hAnsi="Arial" w:cs="Arial"/>
          <w:color w:val="auto"/>
          <w:sz w:val="31"/>
          <w:szCs w:val="31"/>
          <w:highlight w:val="none"/>
          <w:u w:val="none"/>
        </w:rPr>
        <w:t>https</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www</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chinatax</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gov</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cn</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chinatax</w:t>
      </w:r>
      <w:r>
        <w:rPr>
          <w:rFonts w:hint="default" w:ascii="Arial" w:hAnsi="Arial" w:cs="Arial"/>
          <w:color w:val="auto"/>
          <w:spacing w:val="12"/>
          <w:sz w:val="31"/>
          <w:szCs w:val="31"/>
          <w:highlight w:val="none"/>
          <w:u w:val="none"/>
        </w:rPr>
        <w:t>/c102449/</w:t>
      </w:r>
      <w:r>
        <w:rPr>
          <w:rFonts w:hint="default" w:ascii="Arial" w:hAnsi="Arial" w:cs="Arial"/>
          <w:color w:val="auto"/>
          <w:sz w:val="31"/>
          <w:szCs w:val="31"/>
          <w:highlight w:val="none"/>
          <w:u w:val="none"/>
        </w:rPr>
        <w:t>cjwtjd</w:t>
      </w:r>
      <w:r>
        <w:rPr>
          <w:rFonts w:hint="default" w:ascii="Arial" w:hAnsi="Arial" w:cs="Arial"/>
          <w:color w:val="auto"/>
          <w:spacing w:val="12"/>
          <w:sz w:val="31"/>
          <w:szCs w:val="31"/>
          <w:highlight w:val="none"/>
          <w:u w:val="none"/>
        </w:rPr>
        <w:t>.</w:t>
      </w:r>
      <w:r>
        <w:rPr>
          <w:rFonts w:hint="default" w:ascii="Arial" w:hAnsi="Arial" w:cs="Arial"/>
          <w:color w:val="auto"/>
          <w:sz w:val="31"/>
          <w:szCs w:val="31"/>
          <w:highlight w:val="none"/>
          <w:u w:val="none"/>
        </w:rPr>
        <w:t>ht</w:t>
      </w:r>
      <w:r>
        <w:rPr>
          <w:rFonts w:hint="default" w:ascii="Arial" w:hAnsi="Arial" w:cs="Arial"/>
          <w:spacing w:val="-6"/>
          <w:sz w:val="31"/>
          <w:szCs w:val="31"/>
          <w:highlight w:val="none"/>
        </w:rPr>
        <w:t>ml</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
        </w:rPr>
        <w:t>●</w:t>
      </w:r>
      <w:r>
        <w:rPr>
          <w:rFonts w:ascii="仿宋" w:hAnsi="仿宋" w:eastAsia="仿宋" w:cs="仿宋"/>
          <w:spacing w:val="8"/>
          <w:sz w:val="31"/>
          <w:szCs w:val="31"/>
          <w:highlight w:val="none"/>
        </w:rPr>
        <w:t>跨境纳税人缴费人常见问题解答</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drawing>
          <wp:inline distT="0" distB="0" distL="114300" distR="114300">
            <wp:extent cx="1780540" cy="1780540"/>
            <wp:effectExtent l="0" t="0" r="10160" b="10160"/>
            <wp:docPr id="4" name="图片 4" descr="跨境纳税人缴费人常见问题解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跨境纳税人缴费人常见问题解答"/>
                    <pic:cNvPicPr>
                      <a:picLocks noChangeAspect="1"/>
                    </pic:cNvPicPr>
                  </pic:nvPicPr>
                  <pic:blipFill>
                    <a:blip r:embed="rId9"/>
                    <a:stretch>
                      <a:fillRect/>
                    </a:stretch>
                  </pic:blipFill>
                  <pic:spPr>
                    <a:xfrm>
                      <a:off x="0" y="0"/>
                      <a:ext cx="1780540" cy="178054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仿宋_GB2312" w:hAnsi="仿宋_GB2312" w:eastAsia="仿宋_GB2312" w:cs="仿宋_GB2312"/>
          <w:b/>
          <w:bCs/>
          <w:color w:val="auto"/>
          <w:sz w:val="32"/>
          <w:szCs w:val="32"/>
          <w:highlight w:val="none"/>
          <w:lang w:val="en-US" w:eastAsia="zh-CN"/>
        </w:rPr>
      </w:pPr>
      <w:bookmarkStart w:id="316" w:name="_Toc23940"/>
      <w:bookmarkStart w:id="317" w:name="_Toc18329"/>
      <w:r>
        <w:rPr>
          <w:rFonts w:hint="eastAsia" w:ascii="仿宋_GB2312" w:hAnsi="仿宋_GB2312" w:eastAsia="仿宋_GB2312" w:cs="仿宋_GB2312"/>
          <w:b/>
          <w:bCs/>
          <w:color w:val="auto"/>
          <w:sz w:val="32"/>
          <w:szCs w:val="32"/>
          <w:highlight w:val="none"/>
          <w:lang w:val="en-US" w:eastAsia="zh-CN"/>
        </w:rPr>
        <w:t>2.稳外贸稳外资税收政策指引</w:t>
      </w:r>
      <w:bookmarkEnd w:id="316"/>
      <w:bookmarkEnd w:id="317"/>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pStyle w:val="16"/>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both"/>
        <w:textAlignment w:val="auto"/>
        <w:rPr>
          <w:rFonts w:hint="eastAsia" w:ascii="仿宋_GB2312" w:eastAsia="仿宋_GB2312"/>
          <w:color w:val="auto"/>
          <w:sz w:val="32"/>
          <w:szCs w:val="32"/>
          <w:highlight w:val="none"/>
          <w:shd w:val="clear" w:color="auto" w:fill="FFFFFF"/>
          <w:lang w:val="en-US" w:eastAsia="zh-CN"/>
        </w:rPr>
      </w:pPr>
      <w:r>
        <w:rPr>
          <w:rFonts w:hint="eastAsia" w:ascii="仿宋_GB2312" w:eastAsia="仿宋_GB2312"/>
          <w:color w:val="auto"/>
          <w:sz w:val="32"/>
          <w:szCs w:val="32"/>
          <w:highlight w:val="none"/>
          <w:shd w:val="clear" w:color="auto" w:fill="FFFFFF"/>
          <w:lang w:val="en-US" w:eastAsia="zh-CN"/>
        </w:rPr>
        <w:t>稳外贸稳外资税收政策指引共包括 51 项内容,分为稳外贸政策和稳外资政策两大领域。稳外贸领域包括出口货物劳务税收政策、跨境应税行为增值税政策、外贸新业态税收政策、出口退（免）税服务便利化举措。稳外资领域包括鼓励外商投资税收政策、吸引境外人士税收政策、支持金融市场对外开放税收政策。</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color w:val="auto"/>
          <w:sz w:val="32"/>
          <w:szCs w:val="32"/>
          <w:highlight w:val="none"/>
          <w:lang w:val="en-US" w:eastAsia="zh-CN"/>
        </w:rPr>
      </w:pPr>
      <w:r>
        <w:rPr>
          <w:rFonts w:hint="eastAsia" w:asciiTheme="minorEastAsia" w:hAnsiTheme="minorEastAsia" w:eastAsiaTheme="minorEastAsia" w:cstheme="minorEastAsia"/>
          <w:sz w:val="32"/>
          <w:szCs w:val="32"/>
          <w:highlight w:val="none"/>
          <w:lang w:val="en-US" w:eastAsia="zh-CN" w:bidi="ar"/>
        </w:rPr>
        <w:t>【</w:t>
      </w:r>
      <w:r>
        <w:rPr>
          <w:rFonts w:hint="eastAsia" w:asciiTheme="minorEastAsia" w:hAnsiTheme="minorEastAsia" w:eastAsiaTheme="minorEastAsia" w:cstheme="minorEastAsia"/>
          <w:color w:val="auto"/>
          <w:sz w:val="32"/>
          <w:szCs w:val="32"/>
          <w:highlight w:val="none"/>
          <w:lang w:val="en-US" w:eastAsia="zh-CN"/>
        </w:rPr>
        <w:t>更多资讯</w:t>
      </w:r>
      <w:r>
        <w:rPr>
          <w:rFonts w:hint="eastAsia" w:asciiTheme="minorEastAsia" w:hAnsiTheme="minorEastAsia" w:eastAsiaTheme="minorEastAsia" w:cstheme="minorEastAsia"/>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632" w:firstLineChars="200"/>
        <w:jc w:val="both"/>
        <w:textAlignment w:val="auto"/>
        <w:outlineLvl w:val="9"/>
        <w:rPr>
          <w:rFonts w:ascii="仿宋" w:hAnsi="仿宋" w:eastAsia="仿宋" w:cs="仿宋"/>
          <w:spacing w:val="3"/>
          <w:sz w:val="31"/>
          <w:szCs w:val="31"/>
          <w:highlight w:val="none"/>
        </w:rPr>
      </w:pPr>
      <w:r>
        <w:rPr>
          <w:rFonts w:ascii="仿宋" w:hAnsi="仿宋" w:eastAsia="仿宋" w:cs="仿宋"/>
          <w:spacing w:val="3"/>
          <w:sz w:val="31"/>
          <w:szCs w:val="31"/>
          <w:highlight w:val="none"/>
        </w:rPr>
        <w:t>欢迎查阅</w:t>
      </w:r>
      <w:r>
        <w:rPr>
          <w:rFonts w:ascii="仿宋" w:hAnsi="仿宋" w:eastAsia="仿宋" w:cs="仿宋"/>
          <w:spacing w:val="-98"/>
          <w:sz w:val="31"/>
          <w:szCs w:val="31"/>
          <w:highlight w:val="none"/>
        </w:rPr>
        <w:t xml:space="preserve"> </w:t>
      </w:r>
      <w:r>
        <w:rPr>
          <w:rFonts w:ascii="仿宋" w:hAnsi="仿宋" w:eastAsia="仿宋" w:cs="仿宋"/>
          <w:spacing w:val="3"/>
          <w:sz w:val="31"/>
          <w:szCs w:val="31"/>
          <w:highlight w:val="none"/>
        </w:rPr>
        <w:t>“</w:t>
      </w:r>
      <w:r>
        <w:rPr>
          <w:rFonts w:ascii="仿宋" w:hAnsi="仿宋" w:eastAsia="仿宋" w:cs="仿宋"/>
          <w:spacing w:val="-113"/>
          <w:sz w:val="31"/>
          <w:szCs w:val="31"/>
          <w:highlight w:val="none"/>
        </w:rPr>
        <w:t xml:space="preserve"> </w:t>
      </w:r>
      <w:r>
        <w:rPr>
          <w:rFonts w:hint="eastAsia" w:ascii="仿宋_GB2312" w:eastAsia="仿宋_GB2312"/>
          <w:color w:val="auto"/>
          <w:sz w:val="32"/>
          <w:szCs w:val="32"/>
          <w:highlight w:val="none"/>
          <w:shd w:val="clear" w:color="auto" w:fill="FFFFFF"/>
          <w:lang w:val="en-US" w:eastAsia="zh-CN"/>
        </w:rPr>
        <w:t>稳外贸稳外资税收政策指引</w:t>
      </w:r>
      <w:r>
        <w:rPr>
          <w:rFonts w:ascii="仿宋" w:hAnsi="仿宋" w:eastAsia="仿宋" w:cs="仿宋"/>
          <w:spacing w:val="3"/>
          <w:sz w:val="31"/>
          <w:szCs w:val="3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00"/>
        <w:jc w:val="both"/>
        <w:textAlignment w:val="auto"/>
        <w:outlineLvl w:val="9"/>
        <w:rPr>
          <w:rFonts w:hint="default" w:ascii="Arial" w:hAnsi="Arial" w:eastAsia="楷体_GB2312" w:cs="Arial"/>
          <w:color w:val="auto"/>
          <w:sz w:val="30"/>
          <w:szCs w:val="30"/>
          <w:highlight w:val="none"/>
          <w:lang w:val="en-US" w:eastAsia="zh-CN"/>
        </w:rPr>
      </w:pPr>
      <w:r>
        <w:rPr>
          <w:rFonts w:hint="default" w:ascii="Arial" w:hAnsi="Arial" w:eastAsia="仿宋" w:cs="Arial"/>
          <w:spacing w:val="3"/>
          <w:sz w:val="30"/>
          <w:szCs w:val="30"/>
          <w:highlight w:val="none"/>
          <w:lang w:val="en-US" w:eastAsia="zh-CN"/>
        </w:rPr>
        <w:t>h</w:t>
      </w:r>
      <w:r>
        <w:rPr>
          <w:rFonts w:hint="default" w:ascii="Arial" w:hAnsi="Arial" w:eastAsia="仿宋" w:cs="Arial"/>
          <w:spacing w:val="3"/>
          <w:sz w:val="30"/>
          <w:szCs w:val="30"/>
          <w:highlight w:val="none"/>
        </w:rPr>
        <w:t>ttps://www.chinatax.gov.cn/chinatax/n810219/n810744/n1671176/n2884609/c5222174/content.html</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
        </w:rPr>
        <w:t>●</w:t>
      </w:r>
      <w:r>
        <w:rPr>
          <w:rFonts w:hint="eastAsia" w:ascii="仿宋_GB2312" w:eastAsia="仿宋_GB2312"/>
          <w:color w:val="auto"/>
          <w:sz w:val="32"/>
          <w:szCs w:val="32"/>
          <w:highlight w:val="none"/>
          <w:shd w:val="clear" w:color="auto" w:fill="FFFFFF"/>
          <w:lang w:val="en-US" w:eastAsia="zh-CN"/>
        </w:rPr>
        <w:t>稳外贸稳外资税收政策指引</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drawing>
          <wp:inline distT="0" distB="0" distL="114300" distR="114300">
            <wp:extent cx="1760855" cy="1760855"/>
            <wp:effectExtent l="0" t="0" r="10795" b="10795"/>
            <wp:docPr id="5" name="图片 5" descr="稳外贸稳外资税收政策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稳外贸稳外资税收政策指引"/>
                    <pic:cNvPicPr>
                      <a:picLocks noChangeAspect="1"/>
                    </pic:cNvPicPr>
                  </pic:nvPicPr>
                  <pic:blipFill>
                    <a:blip r:embed="rId10"/>
                    <a:stretch>
                      <a:fillRect/>
                    </a:stretch>
                  </pic:blipFill>
                  <pic:spPr>
                    <a:xfrm>
                      <a:off x="0" y="0"/>
                      <a:ext cx="1760855" cy="176085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楷体_GB2312" w:hAnsi="楷体_GB2312" w:eastAsia="楷体_GB2312" w:cs="楷体_GB2312"/>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18" w:name="_Toc28791"/>
      <w:bookmarkStart w:id="319" w:name="_Toc11680"/>
      <w:r>
        <w:rPr>
          <w:rFonts w:hint="eastAsia" w:ascii="楷体_GB2312" w:hAnsi="楷体_GB2312" w:eastAsia="楷体_GB2312" w:cs="楷体_GB2312"/>
          <w:color w:val="auto"/>
          <w:sz w:val="32"/>
          <w:szCs w:val="32"/>
          <w:highlight w:val="none"/>
          <w:lang w:val="en-US" w:eastAsia="zh-CN"/>
        </w:rPr>
        <w:t>（二）项目建设阶段</w:t>
      </w:r>
      <w:bookmarkEnd w:id="318"/>
      <w:bookmarkEnd w:id="319"/>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仿宋_GB2312" w:hAnsi="仿宋_GB2312" w:eastAsia="仿宋_GB2312" w:cs="仿宋_GB2312"/>
          <w:b/>
          <w:bCs/>
          <w:color w:val="auto"/>
          <w:sz w:val="32"/>
          <w:szCs w:val="32"/>
          <w:highlight w:val="none"/>
          <w:lang w:val="en-US" w:eastAsia="zh-CN"/>
        </w:rPr>
      </w:pPr>
      <w:bookmarkStart w:id="320" w:name="_Toc12813"/>
      <w:bookmarkStart w:id="321" w:name="_Toc7214"/>
      <w:r>
        <w:rPr>
          <w:rFonts w:hint="eastAsia" w:ascii="仿宋_GB2312" w:hAnsi="仿宋_GB2312" w:eastAsia="仿宋_GB2312" w:cs="仿宋_GB2312"/>
          <w:b/>
          <w:bCs/>
          <w:color w:val="auto"/>
          <w:sz w:val="32"/>
          <w:szCs w:val="32"/>
          <w:highlight w:val="none"/>
          <w:lang w:val="en-US" w:eastAsia="zh-CN"/>
        </w:rPr>
        <w:t>1.非居民扣缴企业所得税服务套餐</w:t>
      </w:r>
      <w:bookmarkEnd w:id="320"/>
      <w:bookmarkEnd w:id="321"/>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非居民纳税人及扣缴义务人可以通过电子税务局“国际税收业务套餐”，办理非居民合同备案、非居民组织临时登记、服务贸易等项目对外支付备案、扣缴企业所得税报告、非居民企业所得税自行申报、非居民企业所得税预缴申报、非居民企业所得税年度申报、其他代扣代缴、代收代缴申报等系列业务。</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w:t>
      </w:r>
      <w:r>
        <w:rPr>
          <w:rFonts w:hint="eastAsia" w:asciiTheme="minorEastAsia" w:hAnsiTheme="minorEastAsia" w:eastAsiaTheme="minorEastAsia" w:cstheme="minorEastAsia"/>
          <w:color w:val="auto"/>
          <w:sz w:val="32"/>
          <w:szCs w:val="32"/>
          <w:highlight w:val="none"/>
          <w:lang w:val="en-US" w:eastAsia="zh-CN"/>
        </w:rPr>
        <w:t>更多资讯</w:t>
      </w:r>
      <w:r>
        <w:rPr>
          <w:rFonts w:hint="eastAsia" w:asciiTheme="minorEastAsia" w:hAnsiTheme="minorEastAsia" w:eastAsiaTheme="minorEastAsia" w:cstheme="minorEastAsia"/>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非居民纳税人通过电子税务局“国际税收业务套餐”模块，可一站式、</w:t>
      </w:r>
      <w:r>
        <w:rPr>
          <w:rFonts w:hint="eastAsia" w:ascii="仿宋_GB2312" w:hAnsi="仿宋_GB2312" w:eastAsia="仿宋_GB2312" w:cs="仿宋_GB2312"/>
          <w:sz w:val="32"/>
          <w:szCs w:val="32"/>
          <w:highlight w:val="none"/>
          <w:lang w:val="en-US" w:eastAsia="zh-CN" w:bidi="ar"/>
        </w:rPr>
        <w:t>发帖</w:t>
      </w:r>
      <w:r>
        <w:rPr>
          <w:rFonts w:hint="default" w:ascii="仿宋_GB2312" w:hAnsi="仿宋_GB2312" w:eastAsia="仿宋_GB2312" w:cs="仿宋_GB2312"/>
          <w:sz w:val="32"/>
          <w:szCs w:val="32"/>
          <w:highlight w:val="none"/>
          <w:lang w:val="en-US" w:eastAsia="zh-CN" w:bidi="ar"/>
        </w:rPr>
        <w:t>全流程办理非居民全套业务，根据不同的业务需求直接点击对应功能按钮跳转填报。欢迎咨询主管税务机关了解非居民扣缴企业所得税服务套餐开展详情。</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sz w:val="32"/>
          <w:szCs w:val="32"/>
          <w:highlight w:val="none"/>
          <w:lang w:val="en-US" w:eastAsia="zh-CN" w:bidi="ar"/>
        </w:rPr>
      </w:pPr>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仿宋_GB2312" w:hAnsi="仿宋_GB2312" w:eastAsia="仿宋_GB2312" w:cs="仿宋_GB2312"/>
          <w:b/>
          <w:bCs/>
          <w:color w:val="auto"/>
          <w:sz w:val="32"/>
          <w:szCs w:val="32"/>
          <w:highlight w:val="none"/>
          <w:lang w:val="en-US" w:eastAsia="zh-CN"/>
        </w:rPr>
      </w:pPr>
      <w:bookmarkStart w:id="322" w:name="_Toc16132"/>
      <w:bookmarkStart w:id="323" w:name="_Toc14067"/>
      <w:r>
        <w:rPr>
          <w:rFonts w:hint="eastAsia" w:ascii="仿宋_GB2312" w:hAnsi="仿宋_GB2312" w:eastAsia="仿宋_GB2312" w:cs="仿宋_GB2312"/>
          <w:b/>
          <w:bCs/>
          <w:color w:val="auto"/>
          <w:sz w:val="32"/>
          <w:szCs w:val="32"/>
          <w:highlight w:val="none"/>
          <w:lang w:val="en-US" w:eastAsia="zh-CN"/>
        </w:rPr>
        <w:t>2.外国商务人士在华工作生活指引</w:t>
      </w:r>
      <w:bookmarkEnd w:id="322"/>
      <w:bookmarkEnd w:id="323"/>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《外国商务人士在华工作生活指引》（2024 年版）</w:t>
      </w:r>
      <w:r>
        <w:rPr>
          <w:rFonts w:hint="eastAsia" w:ascii="仿宋_GB2312" w:hAnsi="仿宋_GB2312" w:eastAsia="仿宋_GB2312" w:cs="仿宋_GB2312"/>
          <w:b/>
          <w:bCs/>
          <w:color w:val="auto"/>
          <w:sz w:val="32"/>
          <w:szCs w:val="32"/>
          <w:highlight w:val="none"/>
          <w:lang w:val="en-US" w:eastAsia="zh-CN"/>
        </w:rPr>
        <w:t>是</w:t>
      </w:r>
      <w:r>
        <w:rPr>
          <w:rFonts w:hint="default" w:ascii="仿宋_GB2312" w:hAnsi="仿宋_GB2312" w:eastAsia="仿宋_GB2312" w:cs="仿宋_GB2312"/>
          <w:sz w:val="32"/>
          <w:szCs w:val="32"/>
          <w:highlight w:val="none"/>
          <w:lang w:val="en-US" w:eastAsia="zh-CN" w:bidi="ar"/>
        </w:rPr>
        <w:t>商务部会同相关部门汇编</w:t>
      </w:r>
      <w:r>
        <w:rPr>
          <w:rFonts w:hint="eastAsia" w:ascii="仿宋_GB2312" w:hAnsi="仿宋_GB2312" w:eastAsia="仿宋_GB2312" w:cs="仿宋_GB2312"/>
          <w:sz w:val="32"/>
          <w:szCs w:val="32"/>
          <w:highlight w:val="none"/>
          <w:lang w:val="en-US" w:eastAsia="zh-CN" w:bidi="ar"/>
        </w:rPr>
        <w:t>完成</w:t>
      </w:r>
      <w:r>
        <w:rPr>
          <w:rFonts w:hint="default" w:ascii="仿宋_GB2312" w:hAnsi="仿宋_GB2312" w:eastAsia="仿宋_GB2312" w:cs="仿宋_GB2312"/>
          <w:sz w:val="32"/>
          <w:szCs w:val="32"/>
          <w:highlight w:val="none"/>
          <w:lang w:val="en-US" w:eastAsia="zh-CN" w:bidi="ar"/>
        </w:rPr>
        <w:t>，分为注意事项、日常生活服务、在华停居留服务、在华工作相关服务四部分，涵盖办理住宿、通信卡、银行卡、居留许可证、工作许可证、社会保险、开通移动支付、乘坐交通工具、缴纳个人所得税等事项，供外国商务人士在华工作生活参考使用。</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w:t>
      </w:r>
      <w:r>
        <w:rPr>
          <w:rFonts w:hint="eastAsia" w:asciiTheme="minorEastAsia" w:hAnsiTheme="minorEastAsia" w:eastAsiaTheme="minorEastAsia" w:cstheme="minorEastAsia"/>
          <w:color w:val="auto"/>
          <w:sz w:val="32"/>
          <w:szCs w:val="32"/>
          <w:highlight w:val="none"/>
          <w:lang w:val="en-US" w:eastAsia="zh-CN"/>
        </w:rPr>
        <w:t>更多资讯</w:t>
      </w:r>
      <w:r>
        <w:rPr>
          <w:rFonts w:hint="eastAsia" w:asciiTheme="minorEastAsia" w:hAnsiTheme="minorEastAsia" w:eastAsiaTheme="minorEastAsia" w:cstheme="minorEastAsia"/>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632" w:firstLineChars="200"/>
        <w:jc w:val="both"/>
        <w:textAlignment w:val="auto"/>
        <w:outlineLvl w:val="9"/>
        <w:rPr>
          <w:rFonts w:ascii="仿宋" w:hAnsi="仿宋" w:eastAsia="仿宋" w:cs="仿宋"/>
          <w:spacing w:val="3"/>
          <w:sz w:val="31"/>
          <w:szCs w:val="31"/>
          <w:highlight w:val="none"/>
        </w:rPr>
      </w:pPr>
      <w:r>
        <w:rPr>
          <w:rFonts w:ascii="仿宋" w:hAnsi="仿宋" w:eastAsia="仿宋" w:cs="仿宋"/>
          <w:spacing w:val="3"/>
          <w:sz w:val="31"/>
          <w:szCs w:val="31"/>
          <w:highlight w:val="none"/>
        </w:rPr>
        <w:t>欢迎查阅</w:t>
      </w:r>
      <w:r>
        <w:rPr>
          <w:rFonts w:ascii="仿宋" w:hAnsi="仿宋" w:eastAsia="仿宋" w:cs="仿宋"/>
          <w:spacing w:val="-98"/>
          <w:sz w:val="31"/>
          <w:szCs w:val="31"/>
          <w:highlight w:val="none"/>
        </w:rPr>
        <w:t xml:space="preserve"> </w:t>
      </w:r>
      <w:r>
        <w:rPr>
          <w:rFonts w:ascii="仿宋" w:hAnsi="仿宋" w:eastAsia="仿宋" w:cs="仿宋"/>
          <w:spacing w:val="3"/>
          <w:sz w:val="31"/>
          <w:szCs w:val="31"/>
          <w:highlight w:val="none"/>
        </w:rPr>
        <w:t>“</w:t>
      </w:r>
      <w:r>
        <w:rPr>
          <w:rFonts w:hint="default" w:ascii="仿宋_GB2312" w:hAnsi="仿宋_GB2312" w:eastAsia="仿宋_GB2312" w:cs="仿宋_GB2312"/>
          <w:sz w:val="32"/>
          <w:szCs w:val="32"/>
          <w:highlight w:val="none"/>
          <w:lang w:val="en-US" w:eastAsia="zh-CN" w:bidi="ar"/>
        </w:rPr>
        <w:t>外国商务人士在华工作生活指引</w:t>
      </w:r>
      <w:r>
        <w:rPr>
          <w:rFonts w:ascii="仿宋" w:hAnsi="仿宋" w:eastAsia="仿宋" w:cs="仿宋"/>
          <w:spacing w:val="3"/>
          <w:sz w:val="31"/>
          <w:szCs w:val="3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00"/>
        <w:jc w:val="both"/>
        <w:textAlignment w:val="auto"/>
        <w:outlineLvl w:val="9"/>
        <w:rPr>
          <w:rFonts w:hint="default" w:ascii="Arial" w:hAnsi="Arial" w:eastAsia="仿宋" w:cs="Arial"/>
          <w:spacing w:val="3"/>
          <w:sz w:val="30"/>
          <w:szCs w:val="30"/>
          <w:highlight w:val="none"/>
          <w:lang w:val="en-US" w:eastAsia="zh-CN"/>
        </w:rPr>
      </w:pPr>
      <w:r>
        <w:rPr>
          <w:rFonts w:hint="default" w:ascii="Arial" w:hAnsi="Arial" w:eastAsia="仿宋" w:cs="Arial"/>
          <w:color w:val="auto"/>
          <w:spacing w:val="3"/>
          <w:sz w:val="30"/>
          <w:szCs w:val="30"/>
          <w:highlight w:val="none"/>
          <w:u w:val="none"/>
          <w:lang w:val="en-US" w:eastAsia="zh-CN"/>
        </w:rPr>
        <w:t>h</w:t>
      </w:r>
      <w:r>
        <w:rPr>
          <w:rFonts w:hint="default" w:ascii="Arial" w:hAnsi="Arial" w:eastAsia="仿宋" w:cs="Arial"/>
          <w:color w:val="auto"/>
          <w:spacing w:val="3"/>
          <w:sz w:val="30"/>
          <w:szCs w:val="30"/>
          <w:highlight w:val="none"/>
          <w:u w:val="none"/>
        </w:rPr>
        <w:t>ttps://www.chinatax.gov.cn/chinatax/n810219/n810744/n1671176/n2884609/c5222172/content.html</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bCs/>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
        </w:rPr>
        <w:t>●</w:t>
      </w:r>
      <w:r>
        <w:rPr>
          <w:rFonts w:hint="default" w:ascii="仿宋_GB2312" w:hAnsi="仿宋_GB2312" w:eastAsia="仿宋_GB2312" w:cs="仿宋_GB2312"/>
          <w:sz w:val="32"/>
          <w:szCs w:val="32"/>
          <w:highlight w:val="none"/>
          <w:lang w:val="en-US" w:eastAsia="zh-CN" w:bidi="ar"/>
        </w:rPr>
        <w:t>外国商务人士在华工作生活指引</w:t>
      </w:r>
    </w:p>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drawing>
          <wp:inline distT="0" distB="0" distL="114300" distR="114300">
            <wp:extent cx="1616710" cy="1616710"/>
            <wp:effectExtent l="0" t="0" r="2540" b="2540"/>
            <wp:docPr id="6" name="图片 6" descr="外国商务人士在华工作生活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外国商务人士在华工作生活指引"/>
                    <pic:cNvPicPr>
                      <a:picLocks noChangeAspect="1"/>
                    </pic:cNvPicPr>
                  </pic:nvPicPr>
                  <pic:blipFill>
                    <a:blip r:embed="rId11"/>
                    <a:stretch>
                      <a:fillRect/>
                    </a:stretch>
                  </pic:blipFill>
                  <pic:spPr>
                    <a:xfrm>
                      <a:off x="0" y="0"/>
                      <a:ext cx="1616710" cy="161671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仿宋_GB2312" w:hAnsi="仿宋_GB2312" w:eastAsia="仿宋_GB2312" w:cs="仿宋_GB2312"/>
          <w:b/>
          <w:bCs/>
          <w:color w:val="auto"/>
          <w:sz w:val="32"/>
          <w:szCs w:val="32"/>
          <w:highlight w:val="none"/>
          <w:lang w:val="en-US" w:eastAsia="zh-CN"/>
        </w:rPr>
      </w:pPr>
      <w:bookmarkStart w:id="324" w:name="_Toc22976"/>
      <w:bookmarkStart w:id="325" w:name="_Toc24687"/>
      <w:r>
        <w:rPr>
          <w:rFonts w:hint="eastAsia" w:ascii="仿宋_GB2312" w:hAnsi="仿宋_GB2312" w:eastAsia="仿宋_GB2312" w:cs="仿宋_GB2312"/>
          <w:b/>
          <w:bCs/>
          <w:color w:val="auto"/>
          <w:sz w:val="32"/>
          <w:szCs w:val="32"/>
          <w:highlight w:val="none"/>
          <w:lang w:val="en-US" w:eastAsia="zh-CN"/>
        </w:rPr>
        <w:t>3.非居民跨境办税服务</w:t>
      </w:r>
      <w:bookmarkEnd w:id="324"/>
      <w:bookmarkEnd w:id="325"/>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非居民跨境办税”场景是国家税务总局按照中办、国办印发的《关于进一步深化税收征管改革的意见》要求，努力打造“用户全覆盖、办税无国界”的国际化电子税务局，持续优化税收国际营商环境推出的一项创新举措。全球非居民企业可远程完成中国办税“实名认证”，并被赋予全国唯一的身份码和“一户式”身份档案，畅行无阻登录全国统一规范电子税务局，办理申报缴税等涉税事项。</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w:t>
      </w:r>
      <w:r>
        <w:rPr>
          <w:rFonts w:hint="eastAsia" w:asciiTheme="minorEastAsia" w:hAnsiTheme="minorEastAsia" w:eastAsiaTheme="minorEastAsia" w:cstheme="minorEastAsia"/>
          <w:color w:val="auto"/>
          <w:sz w:val="32"/>
          <w:szCs w:val="32"/>
          <w:highlight w:val="none"/>
          <w:lang w:val="en-US" w:eastAsia="zh-CN"/>
        </w:rPr>
        <w:t>更多资讯</w:t>
      </w:r>
      <w:r>
        <w:rPr>
          <w:rFonts w:hint="eastAsia" w:asciiTheme="minorEastAsia" w:hAnsiTheme="minorEastAsia" w:eastAsiaTheme="minorEastAsia" w:cstheme="minorEastAsia"/>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欢迎咨询主管税务机关了解非居民</w:t>
      </w:r>
      <w:r>
        <w:rPr>
          <w:rFonts w:hint="eastAsia" w:ascii="仿宋_GB2312" w:hAnsi="仿宋_GB2312" w:eastAsia="仿宋_GB2312" w:cs="仿宋_GB2312"/>
          <w:sz w:val="32"/>
          <w:szCs w:val="32"/>
          <w:highlight w:val="none"/>
          <w:lang w:val="en-US" w:eastAsia="zh-CN" w:bidi="ar"/>
        </w:rPr>
        <w:t>跨境办税服务，或登录电子税务局体验</w:t>
      </w:r>
      <w:r>
        <w:rPr>
          <w:rFonts w:hint="default" w:ascii="仿宋_GB2312" w:hAnsi="仿宋_GB2312" w:eastAsia="仿宋_GB2312" w:cs="仿宋_GB2312"/>
          <w:sz w:val="32"/>
          <w:szCs w:val="32"/>
          <w:highlight w:val="none"/>
          <w:lang w:val="en-US" w:eastAsia="zh-CN" w:bidi="ar"/>
        </w:rPr>
        <w:t>详情。</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仿宋_GB2312" w:hAnsi="仿宋_GB2312" w:eastAsia="仿宋_GB2312" w:cs="仿宋_GB2312"/>
          <w:sz w:val="32"/>
          <w:szCs w:val="32"/>
          <w:highlight w:val="none"/>
          <w:lang w:val="en-US" w:eastAsia="zh-CN" w:bidi="ar"/>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26" w:name="_Toc12133"/>
      <w:bookmarkStart w:id="327" w:name="_Toc24643"/>
      <w:r>
        <w:rPr>
          <w:rFonts w:hint="eastAsia" w:ascii="楷体_GB2312" w:hAnsi="楷体_GB2312" w:eastAsia="楷体_GB2312" w:cs="楷体_GB2312"/>
          <w:color w:val="auto"/>
          <w:sz w:val="32"/>
          <w:szCs w:val="32"/>
          <w:highlight w:val="none"/>
          <w:lang w:val="en-US" w:eastAsia="zh-CN"/>
        </w:rPr>
        <w:t>（三）项目投产阶段</w:t>
      </w:r>
      <w:bookmarkEnd w:id="326"/>
      <w:bookmarkEnd w:id="327"/>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28" w:name="_Toc4851"/>
      <w:bookmarkStart w:id="329" w:name="_Toc26436"/>
      <w:r>
        <w:rPr>
          <w:rFonts w:hint="eastAsia" w:ascii="仿宋_GB2312" w:hAnsi="仿宋_GB2312" w:eastAsia="仿宋_GB2312" w:cs="仿宋_GB2312"/>
          <w:b/>
          <w:bCs/>
          <w:color w:val="auto"/>
          <w:kern w:val="2"/>
          <w:sz w:val="32"/>
          <w:szCs w:val="32"/>
          <w:highlight w:val="none"/>
          <w:lang w:val="en-US" w:eastAsia="zh-CN" w:bidi="ar"/>
        </w:rPr>
        <w:t>1.</w:t>
      </w:r>
      <w:bookmarkEnd w:id="328"/>
      <w:r>
        <w:rPr>
          <w:rFonts w:hint="eastAsia" w:ascii="仿宋_GB2312" w:hAnsi="仿宋_GB2312" w:eastAsia="仿宋_GB2312" w:cs="仿宋_GB2312"/>
          <w:b/>
          <w:bCs/>
          <w:color w:val="auto"/>
          <w:kern w:val="2"/>
          <w:sz w:val="32"/>
          <w:szCs w:val="32"/>
          <w:highlight w:val="none"/>
          <w:lang w:val="en-US" w:eastAsia="zh-CN" w:bidi="ar"/>
        </w:rPr>
        <w:t>数电发票推行</w:t>
      </w:r>
      <w:bookmarkEnd w:id="329"/>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全面数字化的电子发票，是与纸质发票具有同等法律效力的全新发票，不以纸质形式存在、不用介质开具、无需申请领用，是将纸质发票的票面信息全面数字化，通过标签管理将多个票种集成归并为单一票种，实现全国统一赋码，系统智能赋予发票开具金额总额度，设立税务数字账户实现发票自动流转交付和数据归集。</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【更多资讯】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欢迎登录</w:t>
      </w:r>
      <w:r>
        <w:rPr>
          <w:rFonts w:hint="default" w:ascii="仿宋_GB2312" w:hAnsi="仿宋_GB2312" w:eastAsia="仿宋_GB2312" w:cs="仿宋_GB2312"/>
          <w:sz w:val="32"/>
          <w:szCs w:val="32"/>
          <w:highlight w:val="none"/>
          <w:lang w:val="en-US" w:eastAsia="zh-CN" w:bidi="ar"/>
        </w:rPr>
        <w:t>国家税务总局全国增值税发票查验平台 (https://inv-veri.chinatax.gov.cn/)</w:t>
      </w:r>
      <w:r>
        <w:rPr>
          <w:rFonts w:hint="eastAsia" w:ascii="仿宋_GB2312" w:hAnsi="仿宋_GB2312" w:eastAsia="仿宋_GB2312" w:cs="仿宋_GB2312"/>
          <w:sz w:val="32"/>
          <w:szCs w:val="32"/>
          <w:highlight w:val="none"/>
          <w:lang w:val="en-US" w:eastAsia="zh-CN" w:bidi="ar"/>
        </w:rPr>
        <w:t>或者咨询主管税务机关了解服务详情。</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b w:val="0"/>
          <w:bCs w:val="0"/>
          <w:color w:val="auto"/>
          <w:kern w:val="2"/>
          <w:sz w:val="32"/>
          <w:szCs w:val="32"/>
          <w:highlight w:val="none"/>
          <w:lang w:val="en-US" w:eastAsia="zh-CN" w:bidi="ar"/>
        </w:rPr>
        <w:t>●</w:t>
      </w:r>
      <w:r>
        <w:rPr>
          <w:rFonts w:hint="default" w:ascii="仿宋_GB2312" w:hAnsi="仿宋_GB2312" w:eastAsia="仿宋_GB2312" w:cs="仿宋_GB2312"/>
          <w:sz w:val="32"/>
          <w:szCs w:val="32"/>
          <w:highlight w:val="none"/>
          <w:lang w:val="en-US" w:eastAsia="zh-CN" w:bidi="ar"/>
        </w:rPr>
        <w:t>国家税务总局全国增值税发票查验平台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drawing>
          <wp:inline distT="0" distB="0" distL="114300" distR="114300">
            <wp:extent cx="1845310" cy="1845310"/>
            <wp:effectExtent l="0" t="0" r="2540" b="2540"/>
            <wp:docPr id="7" name="图片 7" descr="全国增值税发票查验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全国增值税发票查验平台"/>
                    <pic:cNvPicPr>
                      <a:picLocks noChangeAspect="1"/>
                    </pic:cNvPicPr>
                  </pic:nvPicPr>
                  <pic:blipFill>
                    <a:blip r:embed="rId12"/>
                    <a:stretch>
                      <a:fillRect/>
                    </a:stretch>
                  </pic:blipFill>
                  <pic:spPr>
                    <a:xfrm>
                      <a:off x="0" y="0"/>
                      <a:ext cx="1845310" cy="184531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30" w:name="_Toc1068"/>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31" w:name="_Toc26262"/>
      <w:r>
        <w:rPr>
          <w:rFonts w:hint="eastAsia" w:ascii="仿宋_GB2312" w:hAnsi="仿宋_GB2312" w:eastAsia="仿宋_GB2312" w:cs="仿宋_GB2312"/>
          <w:b/>
          <w:bCs/>
          <w:color w:val="auto"/>
          <w:kern w:val="2"/>
          <w:sz w:val="32"/>
          <w:szCs w:val="32"/>
          <w:highlight w:val="none"/>
          <w:lang w:val="en-US" w:eastAsia="zh-CN" w:bidi="ar"/>
        </w:rPr>
        <w:t>2.“乐企”自用试点</w:t>
      </w:r>
      <w:bookmarkEnd w:id="330"/>
      <w:bookmarkEnd w:id="331"/>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乐企（Natural System）是指国家税务总局向符合条件的企业，通过税务系统与企业自有信息系统直连的方式，提供规则开放、标准统一的全面数字化的电子发票等涉税服务（以下简称“乐企服务”）的平台。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乐企自用（Natural System Connection for Self-use，“NSCS”）是指直连乐企的企业自有信息系统（以下简称“直连平台”）提供的乐企服务仅适用于本单位及下属单位，且不以获取经济利益为主要目的。下属单位包括集团企业成员单位、股权控制单位等。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乐企自用通过在其直连平台中嵌入相关规则，将对应涉税业务与自有业务进行系统联动集成，实现涉税业务的多场景、规模化、合规化、自动化处理。能力是指乐企平台提供的处理涉税业务的开放规则集合。其中，公用基础能力无需提交开通请求，具有特殊行业或领域经营资格的直连单位，可提交非公用基础能力开通请求。</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【更多资讯】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具体信息</w:t>
      </w:r>
      <w:r>
        <w:rPr>
          <w:rFonts w:hint="default" w:ascii="仿宋_GB2312" w:hAnsi="仿宋_GB2312" w:eastAsia="仿宋_GB2312" w:cs="仿宋_GB2312"/>
          <w:sz w:val="32"/>
          <w:szCs w:val="32"/>
          <w:highlight w:val="none"/>
          <w:lang w:val="en-US" w:eastAsia="zh-CN" w:bidi="ar"/>
        </w:rPr>
        <w:t>详见</w:t>
      </w:r>
      <w:bookmarkStart w:id="332" w:name="OLE_LINK1"/>
      <w:r>
        <w:rPr>
          <w:rFonts w:hint="default" w:ascii="仿宋_GB2312" w:hAnsi="仿宋_GB2312" w:eastAsia="仿宋_GB2312" w:cs="仿宋_GB2312"/>
          <w:sz w:val="32"/>
          <w:szCs w:val="32"/>
          <w:highlight w:val="none"/>
          <w:lang w:val="en-US" w:eastAsia="zh-CN" w:bidi="ar"/>
        </w:rPr>
        <w:t>各省（市）税务局官网</w:t>
      </w:r>
      <w:bookmarkEnd w:id="332"/>
      <w:r>
        <w:rPr>
          <w:rFonts w:hint="default" w:ascii="仿宋_GB2312" w:hAnsi="仿宋_GB2312" w:eastAsia="仿宋_GB2312" w:cs="仿宋_GB2312"/>
          <w:sz w:val="32"/>
          <w:szCs w:val="32"/>
          <w:highlight w:val="none"/>
          <w:lang w:val="en-US" w:eastAsia="zh-CN" w:bidi="ar"/>
        </w:rPr>
        <w:t>《关于乐企自用直连服务的规范指引》</w:t>
      </w:r>
      <w:r>
        <w:rPr>
          <w:rFonts w:hint="eastAsia" w:ascii="仿宋_GB2312" w:hAnsi="仿宋_GB2312" w:eastAsia="仿宋_GB2312" w:cs="仿宋_GB2312"/>
          <w:sz w:val="32"/>
          <w:szCs w:val="32"/>
          <w:highlight w:val="none"/>
          <w:lang w:val="en-US" w:eastAsia="zh-CN" w:bidi="ar"/>
        </w:rPr>
        <w:t>。</w:t>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楷体_GB2312" w:hAnsi="楷体_GB2312" w:eastAsia="楷体_GB2312" w:cs="楷体_GB2312"/>
          <w:color w:val="auto"/>
          <w:sz w:val="32"/>
          <w:szCs w:val="32"/>
          <w:highlight w:val="none"/>
          <w:lang w:val="en-US"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33" w:name="_Toc18739"/>
      <w:bookmarkStart w:id="334" w:name="_Toc16330"/>
      <w:r>
        <w:rPr>
          <w:rFonts w:hint="eastAsia" w:ascii="楷体_GB2312" w:hAnsi="楷体_GB2312" w:eastAsia="楷体_GB2312" w:cs="楷体_GB2312"/>
          <w:color w:val="auto"/>
          <w:sz w:val="32"/>
          <w:szCs w:val="32"/>
          <w:highlight w:val="none"/>
          <w:lang w:val="en-US" w:eastAsia="zh-CN"/>
        </w:rPr>
        <w:t>（四）撤资清算阶段</w:t>
      </w:r>
      <w:bookmarkEnd w:id="333"/>
      <w:bookmarkEnd w:id="334"/>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35" w:name="_Toc12833"/>
      <w:bookmarkStart w:id="336" w:name="_Toc25399"/>
      <w:r>
        <w:rPr>
          <w:rFonts w:hint="eastAsia" w:ascii="仿宋_GB2312" w:hAnsi="仿宋_GB2312" w:eastAsia="仿宋_GB2312" w:cs="仿宋_GB2312"/>
          <w:b/>
          <w:bCs/>
          <w:color w:val="auto"/>
          <w:kern w:val="2"/>
          <w:sz w:val="32"/>
          <w:szCs w:val="32"/>
          <w:highlight w:val="none"/>
          <w:lang w:val="en-US" w:eastAsia="zh-CN" w:bidi="ar"/>
        </w:rPr>
        <w:t>1.企业简易注销办理</w:t>
      </w:r>
      <w:bookmarkEnd w:id="335"/>
      <w:bookmarkEnd w:id="336"/>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color w:val="auto"/>
          <w:kern w:val="2"/>
          <w:sz w:val="32"/>
          <w:szCs w:val="32"/>
          <w:highlight w:val="none"/>
          <w:lang w:val="en-US" w:eastAsia="zh-CN" w:bidi="ar"/>
        </w:rPr>
      </w:pPr>
      <w:r>
        <w:rPr>
          <w:rFonts w:hint="eastAsia" w:asciiTheme="minorEastAsia" w:hAnsiTheme="minorEastAsia" w:eastAsiaTheme="minorEastAsia" w:cstheme="minorEastAsia"/>
          <w:b w:val="0"/>
          <w:bCs w:val="0"/>
          <w:color w:val="auto"/>
          <w:kern w:val="2"/>
          <w:sz w:val="32"/>
          <w:szCs w:val="32"/>
          <w:highlight w:val="none"/>
          <w:lang w:val="en-US" w:eastAsia="zh-CN" w:bidi="ar"/>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企业简易注销办理服务是为了便利符合条件的企业快速退出市场，提高行政服务效率，降低企业办事成本。企业简易注销服务通过优化注销流程、减少申请文件、信息公开共享等方式，实现市场主体退出的便利化。该服务允许符合条件的企业通过注销平台进行简易注销登记，实行简易注销登记全程网办。</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【更多资讯】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欢迎</w:t>
      </w:r>
      <w:r>
        <w:rPr>
          <w:rFonts w:hint="eastAsia" w:ascii="仿宋_GB2312" w:hAnsi="仿宋_GB2312" w:eastAsia="仿宋_GB2312" w:cs="仿宋_GB2312"/>
          <w:sz w:val="32"/>
          <w:szCs w:val="32"/>
          <w:highlight w:val="none"/>
          <w:lang w:val="en-US" w:eastAsia="zh-CN" w:bidi="ar"/>
        </w:rPr>
        <w:t>访问</w:t>
      </w:r>
      <w:r>
        <w:rPr>
          <w:rFonts w:hint="default" w:ascii="仿宋_GB2312" w:hAnsi="仿宋_GB2312" w:eastAsia="仿宋_GB2312" w:cs="仿宋_GB2312"/>
          <w:sz w:val="32"/>
          <w:szCs w:val="32"/>
          <w:highlight w:val="none"/>
          <w:lang w:val="en-US" w:eastAsia="zh-CN" w:bidi="ar"/>
        </w:rPr>
        <w:t>各省（市）税务局官网</w:t>
      </w:r>
      <w:r>
        <w:rPr>
          <w:rFonts w:hint="eastAsia" w:ascii="仿宋_GB2312" w:hAnsi="仿宋_GB2312" w:eastAsia="仿宋_GB2312" w:cs="仿宋_GB2312"/>
          <w:sz w:val="32"/>
          <w:szCs w:val="32"/>
          <w:highlight w:val="none"/>
          <w:lang w:val="en-US" w:eastAsia="zh-CN" w:bidi="ar"/>
        </w:rPr>
        <w:t>或者</w:t>
      </w:r>
      <w:r>
        <w:rPr>
          <w:rFonts w:hint="default" w:ascii="仿宋_GB2312" w:hAnsi="仿宋_GB2312" w:eastAsia="仿宋_GB2312" w:cs="仿宋_GB2312"/>
          <w:sz w:val="32"/>
          <w:szCs w:val="32"/>
          <w:highlight w:val="none"/>
          <w:lang w:val="en-US" w:eastAsia="zh-CN" w:bidi="ar"/>
        </w:rPr>
        <w:t>咨询主管税务机关了解</w:t>
      </w:r>
      <w:r>
        <w:rPr>
          <w:rFonts w:hint="eastAsia" w:ascii="仿宋_GB2312" w:hAnsi="仿宋_GB2312" w:eastAsia="仿宋_GB2312" w:cs="仿宋_GB2312"/>
          <w:sz w:val="32"/>
          <w:szCs w:val="32"/>
          <w:highlight w:val="none"/>
          <w:lang w:val="en-US" w:eastAsia="zh-CN" w:bidi="ar"/>
        </w:rPr>
        <w:t>该地区</w:t>
      </w:r>
      <w:r>
        <w:rPr>
          <w:rFonts w:hint="default" w:ascii="仿宋_GB2312" w:hAnsi="仿宋_GB2312" w:eastAsia="仿宋_GB2312" w:cs="仿宋_GB2312"/>
          <w:sz w:val="32"/>
          <w:szCs w:val="32"/>
          <w:highlight w:val="none"/>
          <w:lang w:val="en-US" w:eastAsia="zh-CN" w:bidi="ar"/>
        </w:rPr>
        <w:t>简易注销办理</w:t>
      </w:r>
      <w:r>
        <w:rPr>
          <w:rFonts w:hint="eastAsia" w:ascii="仿宋_GB2312" w:hAnsi="仿宋_GB2312" w:eastAsia="仿宋_GB2312" w:cs="仿宋_GB2312"/>
          <w:sz w:val="32"/>
          <w:szCs w:val="32"/>
          <w:highlight w:val="none"/>
          <w:lang w:val="en-US" w:eastAsia="zh-CN" w:bidi="ar"/>
        </w:rPr>
        <w:t>具体操作流程及其他信息</w:t>
      </w:r>
      <w:r>
        <w:rPr>
          <w:rFonts w:hint="default" w:ascii="仿宋_GB2312" w:hAnsi="仿宋_GB2312" w:eastAsia="仿宋_GB2312" w:cs="仿宋_GB2312"/>
          <w:sz w:val="32"/>
          <w:szCs w:val="32"/>
          <w:highlight w:val="none"/>
          <w:lang w:val="en-US" w:eastAsia="zh-CN" w:bidi="ar"/>
        </w:rPr>
        <w:t>。</w:t>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楷体_GB2312" w:hAnsi="楷体_GB2312" w:eastAsia="楷体_GB2312" w:cs="楷体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37" w:name="_Toc5879"/>
      <w:bookmarkStart w:id="338" w:name="_Toc86"/>
      <w:r>
        <w:rPr>
          <w:rFonts w:hint="eastAsia" w:ascii="仿宋_GB2312" w:hAnsi="仿宋_GB2312" w:eastAsia="仿宋_GB2312" w:cs="仿宋_GB2312"/>
          <w:b/>
          <w:bCs/>
          <w:color w:val="auto"/>
          <w:kern w:val="2"/>
          <w:sz w:val="32"/>
          <w:szCs w:val="32"/>
          <w:highlight w:val="none"/>
          <w:lang w:val="en-US" w:eastAsia="zh-CN" w:bidi="ar"/>
        </w:rPr>
        <w:t>2.跨区迁移业务</w:t>
      </w:r>
      <w:bookmarkEnd w:id="337"/>
      <w:bookmarkEnd w:id="338"/>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color w:val="auto"/>
          <w:kern w:val="2"/>
          <w:sz w:val="32"/>
          <w:szCs w:val="32"/>
          <w:highlight w:val="none"/>
          <w:lang w:val="en-US" w:eastAsia="zh-CN" w:bidi="ar"/>
        </w:rPr>
      </w:pPr>
      <w:r>
        <w:rPr>
          <w:rFonts w:hint="eastAsia" w:asciiTheme="minorEastAsia" w:hAnsiTheme="minorEastAsia" w:eastAsiaTheme="minorEastAsia" w:cstheme="minorEastAsia"/>
          <w:b w:val="0"/>
          <w:bCs w:val="0"/>
          <w:color w:val="auto"/>
          <w:kern w:val="2"/>
          <w:sz w:val="32"/>
          <w:szCs w:val="32"/>
          <w:highlight w:val="none"/>
          <w:lang w:val="en-US" w:eastAsia="zh-CN" w:bidi="ar"/>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为推动生产要素畅通流动，各类资源高效配置，持续优化营商环境，国家税务总局制发《国家税务总局关于进一步便利纳税人跨区迁移服务全国统一大市场建设的通知》，细化操作办法，加强宣传辅导，及时回应诉求，推动跨区迁移便利政策措施快速平稳落地实施。</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聚焦事、票、税、案四个主要维度，国家税务总局设计了“未结事项自动办理”“数电票纳税人无感迁移”等优化场景，实现事中办理的提速增效。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聚焦于“事”，纳税人申请迁移时若存在前期申请未办结的涉税事项，可以自行选择是否继续办理，若选择不再办理则由税务机关终止该涉税事项，若选择继续办理则由税务机关按规定限时办结。对税务机关依职权发起的涉税事项，则由税务机关按规定限时办结。</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聚焦于“票”，使用全面数字化电子发票的纳税人进行迁移时，电票平台可自动将其当月月初发票额度和当前剩余发票额度平移至迁入地，纳税人无需在迁入地重复申请发票额度。企业在迁出地准备抵扣但尚未抵扣的发票，同样可以在迁入地继续抵扣。</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聚焦于“税”，对于汇算清缴期外迁的纳税人，在迁入地办理迁移年度企业所得税、个人所得税经营所得汇算清缴时，产生的退(补)税可直接在迁入地办理入库，不需要再返回迁出地办理。此外，纳税人可在迁入地按规定申请迁移年度个税代扣代缴手续费，不用在迁出地、迁入地分别申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聚焦于“案”，改变以往存在涉税风险的纳税人一律不得迁移的做法，区分风险等级、违法情节和纳税人自身特点，按照风险程度分类处理。比如对纳税信用良好、风险任务等级较低的纳税人，税务部门可即时为企业办理迁移，将风险任务推送至迁入地税务部门继续处理。</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【更多资讯】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欢迎</w:t>
      </w:r>
      <w:r>
        <w:rPr>
          <w:rFonts w:hint="eastAsia" w:ascii="仿宋_GB2312" w:hAnsi="仿宋_GB2312" w:eastAsia="仿宋_GB2312" w:cs="仿宋_GB2312"/>
          <w:sz w:val="32"/>
          <w:szCs w:val="32"/>
          <w:highlight w:val="none"/>
          <w:lang w:val="en-US" w:eastAsia="zh-CN" w:bidi="ar"/>
        </w:rPr>
        <w:t>访问</w:t>
      </w:r>
      <w:r>
        <w:rPr>
          <w:rFonts w:hint="default" w:ascii="仿宋_GB2312" w:hAnsi="仿宋_GB2312" w:eastAsia="仿宋_GB2312" w:cs="仿宋_GB2312"/>
          <w:sz w:val="32"/>
          <w:szCs w:val="32"/>
          <w:highlight w:val="none"/>
          <w:lang w:val="en-US" w:eastAsia="zh-CN" w:bidi="ar"/>
        </w:rPr>
        <w:t>各省（市）税务局官网</w:t>
      </w:r>
      <w:r>
        <w:rPr>
          <w:rFonts w:hint="eastAsia" w:ascii="仿宋_GB2312" w:hAnsi="仿宋_GB2312" w:eastAsia="仿宋_GB2312" w:cs="仿宋_GB2312"/>
          <w:sz w:val="32"/>
          <w:szCs w:val="32"/>
          <w:highlight w:val="none"/>
          <w:lang w:val="en-US" w:eastAsia="zh-CN" w:bidi="ar"/>
        </w:rPr>
        <w:t>或者</w:t>
      </w:r>
      <w:r>
        <w:rPr>
          <w:rFonts w:hint="default" w:ascii="仿宋_GB2312" w:hAnsi="仿宋_GB2312" w:eastAsia="仿宋_GB2312" w:cs="仿宋_GB2312"/>
          <w:sz w:val="32"/>
          <w:szCs w:val="32"/>
          <w:highlight w:val="none"/>
          <w:lang w:val="en-US" w:eastAsia="zh-CN" w:bidi="ar"/>
        </w:rPr>
        <w:t>咨询主管税务机关了解</w:t>
      </w:r>
      <w:r>
        <w:rPr>
          <w:rFonts w:hint="eastAsia" w:ascii="仿宋_GB2312" w:hAnsi="仿宋_GB2312" w:eastAsia="仿宋_GB2312" w:cs="仿宋_GB2312"/>
          <w:sz w:val="32"/>
          <w:szCs w:val="32"/>
          <w:highlight w:val="none"/>
          <w:lang w:val="en-US" w:eastAsia="zh-CN" w:bidi="ar"/>
        </w:rPr>
        <w:t>该地区跨区迁移业务的操作流程及其他信息</w:t>
      </w:r>
      <w:r>
        <w:rPr>
          <w:rFonts w:hint="default" w:ascii="仿宋_GB2312" w:hAnsi="仿宋_GB2312" w:eastAsia="仿宋_GB2312" w:cs="仿宋_GB2312"/>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楷体_GB2312" w:hAnsi="楷体_GB2312" w:eastAsia="楷体_GB2312" w:cs="楷体_GB2312"/>
          <w:color w:val="auto"/>
          <w:sz w:val="32"/>
          <w:szCs w:val="32"/>
          <w:highlight w:val="none"/>
          <w:lang w:val="en-US" w:eastAsia="zh-CN"/>
        </w:rPr>
      </w:pPr>
      <w:bookmarkStart w:id="339" w:name="_Toc13350"/>
      <w:bookmarkStart w:id="340" w:name="_Toc15954"/>
      <w:r>
        <w:rPr>
          <w:rFonts w:hint="eastAsia" w:ascii="楷体_GB2312" w:hAnsi="楷体_GB2312" w:eastAsia="楷体_GB2312" w:cs="楷体_GB2312"/>
          <w:color w:val="auto"/>
          <w:sz w:val="32"/>
          <w:szCs w:val="32"/>
          <w:highlight w:val="none"/>
          <w:lang w:val="en-US" w:eastAsia="zh-CN"/>
        </w:rPr>
        <w:t>（五）通用服务举措</w:t>
      </w:r>
      <w:bookmarkEnd w:id="339"/>
      <w:bookmarkEnd w:id="340"/>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41" w:name="_Toc20764"/>
      <w:bookmarkStart w:id="342" w:name="_Toc14821"/>
      <w:r>
        <w:rPr>
          <w:rFonts w:hint="eastAsia" w:ascii="仿宋_GB2312" w:hAnsi="仿宋_GB2312" w:eastAsia="仿宋_GB2312" w:cs="仿宋_GB2312"/>
          <w:b/>
          <w:bCs/>
          <w:color w:val="auto"/>
          <w:kern w:val="2"/>
          <w:sz w:val="32"/>
          <w:szCs w:val="32"/>
          <w:highlight w:val="none"/>
          <w:lang w:val="en-US" w:eastAsia="zh-CN" w:bidi="ar"/>
        </w:rPr>
        <w:t>1.重点外资项目税费服务团队“项目长制”</w:t>
      </w:r>
      <w:bookmarkEnd w:id="341"/>
      <w:bookmarkEnd w:id="342"/>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color w:val="auto"/>
          <w:kern w:val="2"/>
          <w:sz w:val="32"/>
          <w:szCs w:val="32"/>
          <w:highlight w:val="none"/>
          <w:lang w:val="en-US" w:eastAsia="zh-CN" w:bidi="ar"/>
        </w:rPr>
      </w:pPr>
      <w:r>
        <w:rPr>
          <w:rFonts w:hint="eastAsia" w:asciiTheme="minorEastAsia" w:hAnsiTheme="minorEastAsia" w:eastAsiaTheme="minorEastAsia" w:cstheme="minorEastAsia"/>
          <w:b w:val="0"/>
          <w:bCs w:val="0"/>
          <w:color w:val="auto"/>
          <w:kern w:val="2"/>
          <w:sz w:val="32"/>
          <w:szCs w:val="32"/>
          <w:highlight w:val="none"/>
          <w:lang w:val="en-US" w:eastAsia="zh-CN" w:bidi="ar"/>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重点外资项目税费服务团队“项目长制”，是指各省（自治区、直辖市、计划单列市）为本地重点外资项目，逐一确定一名市级税务机关工作人员为“项目长”，负责统筹该项目相关税费服务管理工作。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一是协调跨部门服务团队。“项目长”根据项目需求和实际工作需要，负责协调由纳税服务部门、税源管理部门、税政业务部门、征收管理部门等多个部门组成的专业服务团队，为项目涉及企业重组、财产转让、关联交易、利润再投资、跨区域经营等涉税费交易事项提供全方位、高质量、个性化服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二是统筹全周期税费服务。在项目建设初期，重点加强合同签订、资金筹集、外资引入、项目用地、设备购置等方面税费服务；在建设施工期，重点加强建筑工程、承包工程等方面税费服务；在投产运营期，重点加强供销对接、技术研发、高管激励、项目转让、对外支付等方面税费服务；在撤资清算期，重点加强资产清算、财产分配、登记注销等方面税费服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bidi="ar"/>
        </w:rPr>
        <w:t>三是强化即时性政策支撑。“项目长”与重点外资项目建立常态化沟通联络机制，做好最新税费政策宣传辅导，并通过定期走访和即时互动等方式，紧密跟进项目运行状况，多渠道快速响应税费诉求。</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【更多资讯】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面向</w:t>
      </w:r>
      <w:r>
        <w:rPr>
          <w:rFonts w:hint="default" w:ascii="仿宋_GB2312" w:hAnsi="仿宋_GB2312" w:eastAsia="仿宋_GB2312" w:cs="仿宋_GB2312"/>
          <w:sz w:val="32"/>
          <w:szCs w:val="32"/>
          <w:highlight w:val="none"/>
          <w:lang w:val="en-US" w:eastAsia="zh-CN" w:bidi="ar"/>
        </w:rPr>
        <w:t>各省（市）</w:t>
      </w:r>
      <w:r>
        <w:rPr>
          <w:rFonts w:hint="eastAsia" w:ascii="仿宋_GB2312" w:hAnsi="仿宋_GB2312" w:eastAsia="仿宋_GB2312" w:cs="仿宋_GB2312"/>
          <w:sz w:val="32"/>
          <w:szCs w:val="32"/>
          <w:highlight w:val="none"/>
          <w:lang w:val="en-US" w:eastAsia="zh-CN" w:bidi="ar"/>
        </w:rPr>
        <w:t>的重点外资项目，各级税务机关均已确定一名“项目长”，欢迎咨询主管税务机关</w:t>
      </w:r>
      <w:r>
        <w:rPr>
          <w:rFonts w:hint="default" w:ascii="仿宋_GB2312" w:hAnsi="仿宋_GB2312" w:eastAsia="仿宋_GB2312" w:cs="仿宋_GB2312"/>
          <w:sz w:val="32"/>
          <w:szCs w:val="32"/>
          <w:highlight w:val="none"/>
          <w:lang w:val="en-US" w:eastAsia="zh-CN" w:bidi="ar"/>
        </w:rPr>
        <w:t>了解</w:t>
      </w:r>
      <w:r>
        <w:rPr>
          <w:rFonts w:hint="eastAsia" w:ascii="仿宋_GB2312" w:hAnsi="仿宋_GB2312" w:eastAsia="仿宋_GB2312" w:cs="仿宋_GB2312"/>
          <w:sz w:val="32"/>
          <w:szCs w:val="32"/>
          <w:highlight w:val="none"/>
          <w:lang w:val="en-US" w:eastAsia="zh-CN" w:bidi="ar"/>
        </w:rPr>
        <w:t>“项目长”的相关信息和资讯。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43" w:name="_Toc823"/>
      <w:bookmarkStart w:id="344" w:name="_Toc17201"/>
      <w:r>
        <w:rPr>
          <w:rFonts w:hint="eastAsia" w:ascii="仿宋_GB2312" w:hAnsi="仿宋_GB2312" w:eastAsia="仿宋_GB2312" w:cs="仿宋_GB2312"/>
          <w:b/>
          <w:bCs/>
          <w:color w:val="auto"/>
          <w:kern w:val="2"/>
          <w:sz w:val="32"/>
          <w:szCs w:val="32"/>
          <w:highlight w:val="none"/>
          <w:lang w:val="en-US" w:eastAsia="zh-CN" w:bidi="ar"/>
        </w:rPr>
        <w:t>2.税费优惠政策精准推送</w:t>
      </w:r>
      <w:bookmarkEnd w:id="343"/>
      <w:bookmarkEnd w:id="344"/>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【服务内容】</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税费优惠政策精准推送是一项依托税收大数据的创新服务举措。税务机关根据纳税人的定制需求和身份属性、需求偏好、办税轨迹等行为特征的分析，精准匹配纳税人缴费人最关注的政策内容和办理提醒，通过电子税务局、短信、微信等各种渠道，向企业法人、财务负责人、办税人员推送各有侧重、密切相关的内容消息，助力经营主体及时做好税费业务办理，保障纳税人缴费人享受政策红利，提高纳税人缴费人税法遵从度。</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w:t>
      </w:r>
      <w:r>
        <w:rPr>
          <w:rFonts w:hint="eastAsia" w:asciiTheme="minorEastAsia" w:hAnsiTheme="minorEastAsia" w:eastAsiaTheme="minorEastAsia" w:cstheme="minorEastAsia"/>
          <w:color w:val="auto"/>
          <w:sz w:val="32"/>
          <w:szCs w:val="32"/>
          <w:highlight w:val="none"/>
          <w:lang w:val="en-US" w:eastAsia="zh-CN"/>
        </w:rPr>
        <w:t>更多资讯</w:t>
      </w:r>
      <w:r>
        <w:rPr>
          <w:rFonts w:hint="eastAsia" w:asciiTheme="minorEastAsia" w:hAnsiTheme="minorEastAsia" w:eastAsiaTheme="minorEastAsia" w:cstheme="minorEastAsia"/>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面向满足税费优惠政策享受条件的特定纳税人缴费人群体，并且由税务部门主动发起，无需纳税人缴费人申请。欢迎咨询主管税务机关了解精准推送开展详情。</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45" w:name="_Toc9989"/>
      <w:bookmarkStart w:id="346" w:name="_Toc31586"/>
      <w:r>
        <w:rPr>
          <w:rFonts w:hint="eastAsia" w:ascii="仿宋_GB2312" w:hAnsi="仿宋_GB2312" w:eastAsia="仿宋_GB2312" w:cs="仿宋_GB2312"/>
          <w:b/>
          <w:bCs/>
          <w:color w:val="auto"/>
          <w:kern w:val="2"/>
          <w:sz w:val="32"/>
          <w:szCs w:val="32"/>
          <w:highlight w:val="none"/>
          <w:lang w:val="en-US" w:eastAsia="zh-CN" w:bidi="ar"/>
        </w:rPr>
        <w:t>3.“税路通·税收服务‘一带一路’”专栏</w:t>
      </w:r>
      <w:bookmarkEnd w:id="345"/>
      <w:bookmarkEnd w:id="346"/>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税务总局网站上开辟了“税路通·税收服务‘ 一带一路’”专栏，专栏涵盖税收条约、税收指南、税收指引、海外案例、跨境问答、全球税讯、“税路通”动态、“一带一路”税收征管合作机制等内容。专栏内容将及时更新，帮助企业全面了解“一带一路”的税收信息。</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【更多资讯】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欢迎访问国家税务总局税收“税路通·税收服务‘一带一路’”专栏：</w:t>
      </w:r>
    </w:p>
    <w:p>
      <w:pPr>
        <w:pStyle w:val="6"/>
        <w:spacing w:before="87" w:line="364" w:lineRule="auto"/>
        <w:ind w:left="12" w:right="195" w:firstLine="658"/>
        <w:rPr>
          <w:b/>
          <w:bCs/>
          <w:spacing w:val="1"/>
          <w:sz w:val="30"/>
          <w:szCs w:val="30"/>
          <w:highlight w:val="none"/>
        </w:rPr>
      </w:pPr>
      <w:r>
        <w:rPr>
          <w:b w:val="0"/>
          <w:bCs w:val="0"/>
          <w:highlight w:val="none"/>
        </w:rPr>
        <w:fldChar w:fldCharType="begin"/>
      </w:r>
      <w:r>
        <w:rPr>
          <w:b w:val="0"/>
          <w:bCs w:val="0"/>
          <w:highlight w:val="none"/>
        </w:rPr>
        <w:instrText xml:space="preserve"> HYPERLINK "http://www.chinatax.gov.cn/chinatax/n810219/n810744/n16" </w:instrText>
      </w:r>
      <w:r>
        <w:rPr>
          <w:b w:val="0"/>
          <w:bCs w:val="0"/>
          <w:highlight w:val="none"/>
        </w:rPr>
        <w:fldChar w:fldCharType="separate"/>
      </w:r>
      <w:r>
        <w:rPr>
          <w:b w:val="0"/>
          <w:bCs w:val="0"/>
          <w:sz w:val="30"/>
          <w:szCs w:val="30"/>
          <w:highlight w:val="none"/>
        </w:rPr>
        <w:t>http</w:t>
      </w:r>
      <w:r>
        <w:rPr>
          <w:b w:val="0"/>
          <w:bCs w:val="0"/>
          <w:spacing w:val="9"/>
          <w:sz w:val="30"/>
          <w:szCs w:val="30"/>
          <w:highlight w:val="none"/>
        </w:rPr>
        <w:t>://</w:t>
      </w:r>
      <w:r>
        <w:rPr>
          <w:b w:val="0"/>
          <w:bCs w:val="0"/>
          <w:sz w:val="30"/>
          <w:szCs w:val="30"/>
          <w:highlight w:val="none"/>
        </w:rPr>
        <w:t>www</w:t>
      </w:r>
      <w:r>
        <w:rPr>
          <w:b w:val="0"/>
          <w:bCs w:val="0"/>
          <w:spacing w:val="9"/>
          <w:sz w:val="30"/>
          <w:szCs w:val="30"/>
          <w:highlight w:val="none"/>
        </w:rPr>
        <w:t>.</w:t>
      </w:r>
      <w:r>
        <w:rPr>
          <w:b w:val="0"/>
          <w:bCs w:val="0"/>
          <w:sz w:val="30"/>
          <w:szCs w:val="30"/>
          <w:highlight w:val="none"/>
        </w:rPr>
        <w:t>chinatax</w:t>
      </w:r>
      <w:r>
        <w:rPr>
          <w:b w:val="0"/>
          <w:bCs w:val="0"/>
          <w:spacing w:val="9"/>
          <w:sz w:val="30"/>
          <w:szCs w:val="30"/>
          <w:highlight w:val="none"/>
        </w:rPr>
        <w:t>.</w:t>
      </w:r>
      <w:r>
        <w:rPr>
          <w:b w:val="0"/>
          <w:bCs w:val="0"/>
          <w:sz w:val="30"/>
          <w:szCs w:val="30"/>
          <w:highlight w:val="none"/>
        </w:rPr>
        <w:t>gov</w:t>
      </w:r>
      <w:r>
        <w:rPr>
          <w:b w:val="0"/>
          <w:bCs w:val="0"/>
          <w:spacing w:val="9"/>
          <w:sz w:val="30"/>
          <w:szCs w:val="30"/>
          <w:highlight w:val="none"/>
        </w:rPr>
        <w:t>.</w:t>
      </w:r>
      <w:r>
        <w:rPr>
          <w:b w:val="0"/>
          <w:bCs w:val="0"/>
          <w:sz w:val="30"/>
          <w:szCs w:val="30"/>
          <w:highlight w:val="none"/>
        </w:rPr>
        <w:t>cn</w:t>
      </w:r>
      <w:r>
        <w:rPr>
          <w:b w:val="0"/>
          <w:bCs w:val="0"/>
          <w:spacing w:val="9"/>
          <w:sz w:val="30"/>
          <w:szCs w:val="30"/>
          <w:highlight w:val="none"/>
        </w:rPr>
        <w:t>/</w:t>
      </w:r>
      <w:r>
        <w:rPr>
          <w:b w:val="0"/>
          <w:bCs w:val="0"/>
          <w:sz w:val="30"/>
          <w:szCs w:val="30"/>
          <w:highlight w:val="none"/>
        </w:rPr>
        <w:t>chinatax</w:t>
      </w:r>
      <w:r>
        <w:rPr>
          <w:b w:val="0"/>
          <w:bCs w:val="0"/>
          <w:spacing w:val="9"/>
          <w:sz w:val="30"/>
          <w:szCs w:val="30"/>
          <w:highlight w:val="none"/>
        </w:rPr>
        <w:t>/n810219/n810744/n</w:t>
      </w:r>
      <w:r>
        <w:rPr>
          <w:b w:val="0"/>
          <w:bCs w:val="0"/>
          <w:spacing w:val="8"/>
          <w:sz w:val="30"/>
          <w:szCs w:val="30"/>
          <w:highlight w:val="none"/>
        </w:rPr>
        <w:t>16</w:t>
      </w:r>
      <w:r>
        <w:rPr>
          <w:b w:val="0"/>
          <w:bCs w:val="0"/>
          <w:spacing w:val="8"/>
          <w:sz w:val="30"/>
          <w:szCs w:val="30"/>
          <w:highlight w:val="none"/>
        </w:rPr>
        <w:fldChar w:fldCharType="end"/>
      </w:r>
      <w:r>
        <w:rPr>
          <w:b w:val="0"/>
          <w:bCs w:val="0"/>
          <w:sz w:val="30"/>
          <w:szCs w:val="30"/>
          <w:highlight w:val="none"/>
        </w:rPr>
        <w:t xml:space="preserve"> </w:t>
      </w:r>
      <w:r>
        <w:rPr>
          <w:b w:val="0"/>
          <w:bCs w:val="0"/>
          <w:spacing w:val="8"/>
          <w:sz w:val="30"/>
          <w:szCs w:val="30"/>
          <w:highlight w:val="none"/>
        </w:rPr>
        <w:t>71176/</w:t>
      </w:r>
      <w:r>
        <w:rPr>
          <w:b w:val="0"/>
          <w:bCs w:val="0"/>
          <w:sz w:val="30"/>
          <w:szCs w:val="30"/>
          <w:highlight w:val="none"/>
        </w:rPr>
        <w:t>index</w:t>
      </w:r>
      <w:r>
        <w:rPr>
          <w:b w:val="0"/>
          <w:bCs w:val="0"/>
          <w:spacing w:val="8"/>
          <w:sz w:val="30"/>
          <w:szCs w:val="30"/>
          <w:highlight w:val="none"/>
        </w:rPr>
        <w:t>.</w:t>
      </w:r>
      <w:r>
        <w:rPr>
          <w:b w:val="0"/>
          <w:bCs w:val="0"/>
          <w:sz w:val="30"/>
          <w:szCs w:val="30"/>
          <w:highlight w:val="none"/>
        </w:rPr>
        <w:t>html</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b w:val="0"/>
          <w:bCs w:val="0"/>
          <w:color w:val="auto"/>
          <w:kern w:val="2"/>
          <w:sz w:val="32"/>
          <w:szCs w:val="32"/>
          <w:highlight w:val="none"/>
          <w:lang w:val="en-US" w:eastAsia="zh-CN" w:bidi="ar"/>
        </w:rPr>
      </w:pPr>
      <w:r>
        <w:rPr>
          <w:rFonts w:hint="eastAsia" w:ascii="仿宋_GB2312" w:hAnsi="仿宋_GB2312" w:eastAsia="仿宋_GB2312" w:cs="仿宋_GB2312"/>
          <w:b w:val="0"/>
          <w:bCs w:val="0"/>
          <w:color w:val="auto"/>
          <w:kern w:val="2"/>
          <w:sz w:val="32"/>
          <w:szCs w:val="32"/>
          <w:highlight w:val="none"/>
          <w:lang w:val="en-US" w:eastAsia="zh-CN" w:bidi="ar"/>
        </w:rPr>
        <w:t>●税路通“一带一路”专栏      ●国别地区投资税收指南</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60288" behindDoc="0" locked="0" layoutInCell="1" allowOverlap="1">
            <wp:simplePos x="0" y="0"/>
            <wp:positionH relativeFrom="column">
              <wp:posOffset>3105150</wp:posOffset>
            </wp:positionH>
            <wp:positionV relativeFrom="paragraph">
              <wp:posOffset>59055</wp:posOffset>
            </wp:positionV>
            <wp:extent cx="1485265" cy="1485265"/>
            <wp:effectExtent l="0" t="0" r="635" b="635"/>
            <wp:wrapNone/>
            <wp:docPr id="9" name="图片 9" descr="国别地区投资税收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别地区投资税收指南"/>
                    <pic:cNvPicPr>
                      <a:picLocks noChangeAspect="1"/>
                    </pic:cNvPicPr>
                  </pic:nvPicPr>
                  <pic:blipFill>
                    <a:blip r:embed="rId13"/>
                    <a:stretch>
                      <a:fillRect/>
                    </a:stretch>
                  </pic:blipFill>
                  <pic:spPr>
                    <a:xfrm>
                      <a:off x="0" y="0"/>
                      <a:ext cx="1485265" cy="1485265"/>
                    </a:xfrm>
                    <a:prstGeom prst="rect">
                      <a:avLst/>
                    </a:prstGeom>
                  </pic:spPr>
                </pic:pic>
              </a:graphicData>
            </a:graphic>
          </wp:anchor>
        </w:drawing>
      </w: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19050</wp:posOffset>
            </wp:positionV>
            <wp:extent cx="1551305" cy="1551305"/>
            <wp:effectExtent l="0" t="0" r="10795" b="10795"/>
            <wp:wrapNone/>
            <wp:docPr id="8" name="图片 8" descr="税路通“一带一路”专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税路通“一带一路”专栏"/>
                    <pic:cNvPicPr>
                      <a:picLocks noChangeAspect="1"/>
                    </pic:cNvPicPr>
                  </pic:nvPicPr>
                  <pic:blipFill>
                    <a:blip r:embed="rId14"/>
                    <a:stretch>
                      <a:fillRect/>
                    </a:stretch>
                  </pic:blipFill>
                  <pic:spPr>
                    <a:xfrm>
                      <a:off x="0" y="0"/>
                      <a:ext cx="1551305" cy="15513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47" w:name="_Toc18492"/>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48" w:name="_Toc5587"/>
      <w:r>
        <w:rPr>
          <w:rFonts w:hint="eastAsia" w:ascii="仿宋_GB2312" w:hAnsi="仿宋_GB2312" w:eastAsia="仿宋_GB2312" w:cs="仿宋_GB2312"/>
          <w:b w:val="0"/>
          <w:bCs w:val="0"/>
          <w:color w:val="auto"/>
          <w:kern w:val="2"/>
          <w:sz w:val="32"/>
          <w:szCs w:val="32"/>
          <w:highlight w:val="none"/>
          <w:lang w:val="en-US" w:eastAsia="zh-CN" w:bidi="ar"/>
        </w:rPr>
        <w:t>●走出去税收指引               ●走出去个人税费指引</w:t>
      </w:r>
      <w:bookmarkEnd w:id="348"/>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61312" behindDoc="0" locked="0" layoutInCell="1" allowOverlap="1">
            <wp:simplePos x="0" y="0"/>
            <wp:positionH relativeFrom="column">
              <wp:posOffset>352425</wp:posOffset>
            </wp:positionH>
            <wp:positionV relativeFrom="paragraph">
              <wp:posOffset>45720</wp:posOffset>
            </wp:positionV>
            <wp:extent cx="1568450" cy="1568450"/>
            <wp:effectExtent l="0" t="0" r="12700" b="12700"/>
            <wp:wrapNone/>
            <wp:docPr id="10" name="图片 10" descr="走出去税收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走出去税收指引"/>
                    <pic:cNvPicPr>
                      <a:picLocks noChangeAspect="1"/>
                    </pic:cNvPicPr>
                  </pic:nvPicPr>
                  <pic:blipFill>
                    <a:blip r:embed="rId15"/>
                    <a:stretch>
                      <a:fillRect/>
                    </a:stretch>
                  </pic:blipFill>
                  <pic:spPr>
                    <a:xfrm flipH="1">
                      <a:off x="0" y="0"/>
                      <a:ext cx="1568450" cy="1568450"/>
                    </a:xfrm>
                    <a:prstGeom prst="rect">
                      <a:avLst/>
                    </a:prstGeom>
                  </pic:spPr>
                </pic:pic>
              </a:graphicData>
            </a:graphic>
          </wp:anchor>
        </w:drawing>
      </w: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62336" behindDoc="0" locked="0" layoutInCell="1" allowOverlap="1">
            <wp:simplePos x="0" y="0"/>
            <wp:positionH relativeFrom="column">
              <wp:posOffset>3076575</wp:posOffset>
            </wp:positionH>
            <wp:positionV relativeFrom="paragraph">
              <wp:posOffset>55245</wp:posOffset>
            </wp:positionV>
            <wp:extent cx="1551305" cy="1551305"/>
            <wp:effectExtent l="0" t="0" r="10795" b="10795"/>
            <wp:wrapNone/>
            <wp:docPr id="11" name="图片 11" descr="走出去个人税费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走出去个人税费指引"/>
                    <pic:cNvPicPr>
                      <a:picLocks noChangeAspect="1"/>
                    </pic:cNvPicPr>
                  </pic:nvPicPr>
                  <pic:blipFill>
                    <a:blip r:embed="rId16"/>
                    <a:stretch>
                      <a:fillRect/>
                    </a:stretch>
                  </pic:blipFill>
                  <pic:spPr>
                    <a:xfrm>
                      <a:off x="0" y="0"/>
                      <a:ext cx="1551305" cy="15513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val="0"/>
          <w:bCs w:val="0"/>
          <w:color w:val="auto"/>
          <w:kern w:val="2"/>
          <w:sz w:val="32"/>
          <w:szCs w:val="32"/>
          <w:highlight w:val="none"/>
          <w:lang w:val="en-US" w:eastAsia="zh-CN" w:bidi="ar"/>
        </w:rPr>
      </w:pPr>
      <w:bookmarkStart w:id="349" w:name="_Toc23407"/>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val="0"/>
          <w:bCs w:val="0"/>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63360" behindDoc="0" locked="0" layoutInCell="1" allowOverlap="1">
            <wp:simplePos x="0" y="0"/>
            <wp:positionH relativeFrom="column">
              <wp:posOffset>352425</wp:posOffset>
            </wp:positionH>
            <wp:positionV relativeFrom="paragraph">
              <wp:posOffset>396240</wp:posOffset>
            </wp:positionV>
            <wp:extent cx="1567815" cy="1567815"/>
            <wp:effectExtent l="0" t="0" r="13335" b="13335"/>
            <wp:wrapNone/>
            <wp:docPr id="12" name="图片 12" descr="海外税收案例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海外税收案例库"/>
                    <pic:cNvPicPr>
                      <a:picLocks noChangeAspect="1"/>
                    </pic:cNvPicPr>
                  </pic:nvPicPr>
                  <pic:blipFill>
                    <a:blip r:embed="rId17"/>
                    <a:stretch>
                      <a:fillRect/>
                    </a:stretch>
                  </pic:blipFill>
                  <pic:spPr>
                    <a:xfrm>
                      <a:off x="0" y="0"/>
                      <a:ext cx="1567815" cy="1567815"/>
                    </a:xfrm>
                    <a:prstGeom prst="rect">
                      <a:avLst/>
                    </a:prstGeom>
                  </pic:spPr>
                </pic:pic>
              </a:graphicData>
            </a:graphic>
          </wp:anchor>
        </w:drawing>
      </w:r>
      <w:r>
        <w:rPr>
          <w:rFonts w:hint="eastAsia" w:ascii="仿宋_GB2312" w:hAnsi="仿宋_GB2312" w:eastAsia="仿宋_GB2312" w:cs="仿宋_GB2312"/>
          <w:b w:val="0"/>
          <w:bCs w:val="0"/>
          <w:color w:val="auto"/>
          <w:kern w:val="2"/>
          <w:sz w:val="32"/>
          <w:szCs w:val="32"/>
          <w:highlight w:val="none"/>
          <w:lang w:val="en-US" w:eastAsia="zh-CN" w:bidi="ar"/>
        </w:rPr>
        <w:t>●海外税收案例库               ●全球税讯</w:t>
      </w:r>
      <w:bookmarkEnd w:id="349"/>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drawing>
          <wp:anchor distT="0" distB="0" distL="114300" distR="114300" simplePos="0" relativeHeight="251664384" behindDoc="0" locked="0" layoutInCell="1" allowOverlap="1">
            <wp:simplePos x="0" y="0"/>
            <wp:positionH relativeFrom="column">
              <wp:posOffset>3114675</wp:posOffset>
            </wp:positionH>
            <wp:positionV relativeFrom="paragraph">
              <wp:posOffset>19050</wp:posOffset>
            </wp:positionV>
            <wp:extent cx="1501775" cy="1501775"/>
            <wp:effectExtent l="0" t="0" r="3175" b="3175"/>
            <wp:wrapNone/>
            <wp:docPr id="13" name="图片 13" descr="全球税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球税讯"/>
                    <pic:cNvPicPr>
                      <a:picLocks noChangeAspect="1"/>
                    </pic:cNvPicPr>
                  </pic:nvPicPr>
                  <pic:blipFill>
                    <a:blip r:embed="rId18"/>
                    <a:stretch>
                      <a:fillRect/>
                    </a:stretch>
                  </pic:blipFill>
                  <pic:spPr>
                    <a:xfrm>
                      <a:off x="0" y="0"/>
                      <a:ext cx="1501775" cy="15017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50" w:name="_Toc4558"/>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t>4.12366 双语热线</w:t>
      </w:r>
      <w:bookmarkEnd w:id="347"/>
      <w:bookmarkEnd w:id="350"/>
    </w:p>
    <w:p>
      <w:pPr>
        <w:keepNext w:val="0"/>
        <w:keepLines w:val="0"/>
        <w:pageBreakBefore w:val="0"/>
        <w:kinsoku/>
        <w:wordWrap/>
        <w:overflowPunct/>
        <w:topLinePunct w:val="0"/>
        <w:autoSpaceDE/>
        <w:autoSpaceDN/>
        <w:bidi w:val="0"/>
        <w:adjustRightInd/>
        <w:snapToGrid/>
        <w:spacing w:line="360" w:lineRule="auto"/>
        <w:jc w:val="both"/>
        <w:textAlignment w:val="auto"/>
        <w:rPr>
          <w:highlight w:val="none"/>
        </w:rPr>
      </w:pPr>
      <w:r>
        <w:rPr>
          <w:rFonts w:hint="eastAsia" w:asciiTheme="minorEastAsia" w:hAnsiTheme="minorEastAsia" w:eastAsiaTheme="minorEastAsia" w:cstheme="minorEastAsia"/>
          <w:sz w:val="32"/>
          <w:szCs w:val="32"/>
          <w:highlight w:val="none"/>
          <w:lang w:val="en-US" w:eastAsia="zh-CN" w:bidi="ar"/>
        </w:rPr>
        <w:t>【服务内容】</w:t>
      </w:r>
    </w:p>
    <w:p>
      <w:pPr>
        <w:spacing w:before="101" w:line="328" w:lineRule="auto"/>
        <w:ind w:left="7" w:firstLine="667"/>
        <w:jc w:val="both"/>
        <w:rPr>
          <w:rFonts w:ascii="仿宋" w:hAnsi="仿宋" w:eastAsia="仿宋" w:cs="仿宋"/>
          <w:spacing w:val="7"/>
          <w:sz w:val="31"/>
          <w:szCs w:val="31"/>
          <w:highlight w:val="none"/>
        </w:rPr>
      </w:pPr>
      <w:r>
        <w:rPr>
          <w:rFonts w:hint="eastAsia" w:ascii="仿宋" w:hAnsi="仿宋" w:eastAsia="仿宋" w:cs="仿宋"/>
          <w:spacing w:val="7"/>
          <w:sz w:val="31"/>
          <w:szCs w:val="31"/>
          <w:highlight w:val="none"/>
        </w:rPr>
        <w:t>2016年1月，国家税务总局12366上海（国际）纳税服务中心正式挂牌成立，2016年11月，开通12366中国国际税收服务热线，先后推出中英双语人工咨询服务、6国语音播报、英语智能语音咨询等跨境税费咨询服务。2024年4月，正式上线多语种多渠道税费咨询服务体系，为跨境纳税主体提供8种外语的税费咨询服务。2025年，探索实现多语种咨询服务智能化升级，增加服务语种，实现英语、韩语、法语、德语、葡萄牙语、西班牙语、日语、俄语、阿拉伯语等9种联合国通用语言的税费“随心问”、专业“母语答”，为跨境纳税人提供高效便捷专业咨询服务。</w:t>
      </w:r>
    </w:p>
    <w:p>
      <w:pPr>
        <w:keepNext w:val="0"/>
        <w:keepLines w:val="0"/>
        <w:pageBreakBefore w:val="0"/>
        <w:kinsoku/>
        <w:wordWrap/>
        <w:overflowPunct/>
        <w:topLinePunct w:val="0"/>
        <w:autoSpaceDE/>
        <w:autoSpaceDN/>
        <w:bidi w:val="0"/>
        <w:adjustRightInd/>
        <w:snapToGrid/>
        <w:spacing w:line="360" w:lineRule="auto"/>
        <w:jc w:val="both"/>
        <w:textAlignment w:val="auto"/>
        <w:rPr>
          <w:highlight w:val="none"/>
        </w:rPr>
      </w:pPr>
      <w:r>
        <w:rPr>
          <w:rFonts w:hint="eastAsia" w:asciiTheme="minorEastAsia" w:hAnsiTheme="minorEastAsia" w:eastAsiaTheme="minorEastAsia" w:cstheme="minorEastAsia"/>
          <w:sz w:val="32"/>
          <w:szCs w:val="32"/>
          <w:highlight w:val="none"/>
          <w:lang w:val="en-US" w:eastAsia="zh-CN" w:bidi="ar"/>
        </w:rPr>
        <w:t>【更多资讯】</w:t>
      </w:r>
    </w:p>
    <w:p>
      <w:pPr>
        <w:spacing w:before="101" w:line="222" w:lineRule="auto"/>
        <w:ind w:left="673"/>
        <w:rPr>
          <w:rFonts w:ascii="仿宋" w:hAnsi="仿宋" w:eastAsia="仿宋" w:cs="仿宋"/>
          <w:sz w:val="31"/>
          <w:szCs w:val="31"/>
          <w:highlight w:val="none"/>
        </w:rPr>
      </w:pPr>
      <w:r>
        <w:rPr>
          <w:rFonts w:ascii="仿宋" w:hAnsi="仿宋" w:eastAsia="仿宋" w:cs="仿宋"/>
          <w:spacing w:val="7"/>
          <w:sz w:val="31"/>
          <w:szCs w:val="31"/>
          <w:highlight w:val="none"/>
        </w:rPr>
        <w:t>欢迎拨打中国国际税收服务热线：021-12366</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default"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b w:val="0"/>
          <w:bCs w:val="0"/>
          <w:color w:val="auto"/>
          <w:kern w:val="2"/>
          <w:sz w:val="32"/>
          <w:szCs w:val="32"/>
          <w:highlight w:val="none"/>
          <w:lang w:val="en-US" w:eastAsia="zh-CN" w:bidi="ar"/>
        </w:rPr>
        <w:t>●多语种税费咨询服务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drawing>
          <wp:inline distT="0" distB="0" distL="114300" distR="114300">
            <wp:extent cx="1941830" cy="1941830"/>
            <wp:effectExtent l="0" t="0" r="1270" b="1270"/>
            <wp:docPr id="14" name="图片 14" descr="多语种税费咨询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多语种税费咨询服务"/>
                    <pic:cNvPicPr>
                      <a:picLocks noChangeAspect="1"/>
                    </pic:cNvPicPr>
                  </pic:nvPicPr>
                  <pic:blipFill>
                    <a:blip r:embed="rId19"/>
                    <a:stretch>
                      <a:fillRect/>
                    </a:stretch>
                  </pic:blipFill>
                  <pic:spPr>
                    <a:xfrm>
                      <a:off x="0" y="0"/>
                      <a:ext cx="1941830" cy="19418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51" w:name="_Toc19759"/>
      <w:bookmarkStart w:id="352" w:name="_Toc13175"/>
      <w:r>
        <w:rPr>
          <w:rFonts w:hint="eastAsia" w:ascii="仿宋_GB2312" w:hAnsi="仿宋_GB2312" w:eastAsia="仿宋_GB2312" w:cs="仿宋_GB2312"/>
          <w:b/>
          <w:bCs/>
          <w:color w:val="auto"/>
          <w:kern w:val="2"/>
          <w:sz w:val="32"/>
          <w:szCs w:val="32"/>
          <w:highlight w:val="none"/>
          <w:lang w:val="en-US" w:eastAsia="zh-CN" w:bidi="ar"/>
        </w:rPr>
        <w:t>5.外籍个人涉税服务便捷办理</w:t>
      </w:r>
      <w:bookmarkEnd w:id="351"/>
      <w:bookmarkEnd w:id="352"/>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sz w:val="32"/>
          <w:szCs w:val="32"/>
          <w:highlight w:val="none"/>
          <w:lang w:val="en-US" w:eastAsia="zh-CN" w:bidi="ar"/>
        </w:rPr>
      </w:pPr>
      <w:r>
        <w:rPr>
          <w:rFonts w:hint="default" w:asciiTheme="minorEastAsia" w:hAnsiTheme="minorEastAsia" w:eastAsiaTheme="minorEastAsia" w:cstheme="minorEastAsia"/>
          <w:sz w:val="32"/>
          <w:szCs w:val="32"/>
          <w:highlight w:val="none"/>
          <w:lang w:val="en-US" w:eastAsia="zh-CN" w:bidi="ar"/>
        </w:rPr>
        <w:t>【服务内容】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籍个人可以通过护照等本人身份证件直接登陆电子税务局、登陆自然人电子税务局及个人所得税APP，可通过个人所得税APP或自然人电子税务局网站查询打印个人所得税纳税记录，个人可前往主管税务机关办税服务厅查询打印《中国税收居民身份证明》。</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sz w:val="32"/>
          <w:szCs w:val="32"/>
          <w:highlight w:val="none"/>
          <w:lang w:val="en-US" w:eastAsia="zh-CN" w:bidi="ar"/>
        </w:rPr>
      </w:pPr>
      <w:r>
        <w:rPr>
          <w:rFonts w:hint="default" w:asciiTheme="minorEastAsia" w:hAnsiTheme="minorEastAsia" w:eastAsiaTheme="minorEastAsia" w:cstheme="minorEastAsia"/>
          <w:sz w:val="32"/>
          <w:szCs w:val="32"/>
          <w:highlight w:val="none"/>
          <w:lang w:val="en-US" w:eastAsia="zh-CN" w:bidi="ar"/>
        </w:rPr>
        <w:t>【更多资讯】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操作详情可见电子税务局相关网站，或者咨询当地主管税务机关了解更多外籍个人涉税服务便捷办理信息。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p>
    <w:p>
      <w:pPr>
        <w:rPr>
          <w:rFonts w:hint="eastAsia" w:ascii="黑体" w:hAnsi="黑体" w:eastAsia="黑体" w:cs="黑体"/>
          <w:bCs w:val="0"/>
          <w:color w:val="auto"/>
          <w:sz w:val="32"/>
          <w:szCs w:val="32"/>
          <w:highlight w:val="none"/>
          <w:lang w:val="en-US" w:eastAsia="zh-CN"/>
        </w:rPr>
      </w:pPr>
      <w:bookmarkStart w:id="353" w:name="_Toc21559"/>
      <w:r>
        <w:rPr>
          <w:rFonts w:hint="eastAsia" w:ascii="黑体" w:hAnsi="黑体" w:eastAsia="黑体" w:cs="黑体"/>
          <w:bCs w:val="0"/>
          <w:color w:val="auto"/>
          <w:sz w:val="32"/>
          <w:szCs w:val="32"/>
          <w:highlight w:val="none"/>
          <w:lang w:val="en-US" w:eastAsia="zh-CN"/>
        </w:rPr>
        <w:br w:type="page"/>
      </w:r>
    </w:p>
    <w:p>
      <w:pPr>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黑体" w:hAnsi="黑体" w:eastAsia="黑体" w:cs="黑体"/>
          <w:bCs w:val="0"/>
          <w:color w:val="auto"/>
          <w:sz w:val="32"/>
          <w:szCs w:val="32"/>
          <w:highlight w:val="none"/>
          <w:lang w:val="en-US" w:eastAsia="zh-CN"/>
        </w:rPr>
      </w:pPr>
      <w:bookmarkStart w:id="354" w:name="_Toc2171"/>
      <w:r>
        <w:rPr>
          <w:rFonts w:hint="eastAsia" w:ascii="黑体" w:hAnsi="黑体" w:eastAsia="黑体" w:cs="黑体"/>
          <w:bCs w:val="0"/>
          <w:color w:val="auto"/>
          <w:sz w:val="32"/>
          <w:szCs w:val="32"/>
          <w:highlight w:val="none"/>
          <w:lang w:val="en-US" w:eastAsia="zh-CN"/>
        </w:rPr>
        <w:t>四、涉税风险提示</w:t>
      </w:r>
      <w:bookmarkEnd w:id="353"/>
      <w:bookmarkEnd w:id="354"/>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55" w:name="_Toc24555"/>
      <w:bookmarkStart w:id="356" w:name="_Toc19365"/>
      <w:r>
        <w:rPr>
          <w:rFonts w:hint="eastAsia" w:ascii="楷体_GB2312" w:hAnsi="楷体_GB2312" w:eastAsia="楷体_GB2312" w:cs="楷体_GB2312"/>
          <w:color w:val="auto"/>
          <w:sz w:val="32"/>
          <w:szCs w:val="32"/>
          <w:highlight w:val="none"/>
          <w:lang w:val="en-US" w:eastAsia="zh-CN"/>
        </w:rPr>
        <w:t>（一）项目投资阶段</w:t>
      </w:r>
      <w:bookmarkEnd w:id="355"/>
      <w:bookmarkEnd w:id="356"/>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sz w:val="32"/>
          <w:szCs w:val="32"/>
          <w:highlight w:val="none"/>
          <w:lang w:val="en-US" w:eastAsia="zh-CN" w:bidi="ar"/>
        </w:rPr>
      </w:pPr>
      <w:bookmarkStart w:id="357" w:name="_Toc20568"/>
      <w:bookmarkStart w:id="358" w:name="_Toc10998"/>
      <w:r>
        <w:rPr>
          <w:rFonts w:hint="eastAsia" w:ascii="仿宋_GB2312" w:hAnsi="仿宋_GB2312" w:eastAsia="仿宋_GB2312" w:cs="仿宋_GB2312"/>
          <w:b/>
          <w:bCs/>
          <w:color w:val="auto"/>
          <w:kern w:val="2"/>
          <w:sz w:val="32"/>
          <w:szCs w:val="32"/>
          <w:highlight w:val="none"/>
          <w:lang w:val="en-US" w:eastAsia="zh-CN" w:bidi="ar"/>
        </w:rPr>
        <w:t>1.投资融资</w:t>
      </w:r>
      <w:bookmarkEnd w:id="357"/>
      <w:bookmarkEnd w:id="358"/>
    </w:p>
    <w:p>
      <w:pPr>
        <w:numPr>
          <w:ilvl w:val="0"/>
          <w:numId w:val="0"/>
        </w:numPr>
        <w:rPr>
          <w:rFonts w:hint="default" w:asciiTheme="minorEastAsia" w:hAnsiTheme="minorEastAsia" w:eastAsiaTheme="minorEastAsia" w:cstheme="minorEastAsia"/>
          <w:color w:val="auto"/>
          <w:sz w:val="32"/>
          <w:szCs w:val="32"/>
          <w:highlight w:val="none"/>
          <w:lang w:val="en-US" w:eastAsia="zh-CN"/>
        </w:rPr>
      </w:pPr>
      <w:r>
        <w:rPr>
          <w:rFonts w:hint="default"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非货币性资产投资超期未确认收益</w:t>
      </w:r>
      <w:r>
        <w:rPr>
          <w:rFonts w:hint="eastAsia" w:ascii="仿宋_GB2312" w:hAnsi="仿宋_GB2312" w:eastAsia="仿宋_GB2312" w:cs="仿宋_GB2312"/>
          <w:sz w:val="32"/>
          <w:szCs w:val="32"/>
          <w:highlight w:val="none"/>
          <w:lang w:val="en-US" w:eastAsia="zh-CN" w:bidi="ar"/>
        </w:rPr>
        <w:t>的风险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对于享受非货币性资产投资政策的居民企业，未在确认非货币性资产转让收入年度起的连续5年内，分期均匀计入应纳税所得额；对于享受非货币性资产投资个人所得税政策的个人，未在5个公历年度内(含)缴纳个人所得税的，存在非货币性资产投资超期未确认收益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申报享受的境外投资企业，要按规定留存备查资料；备案享受的个人，需保障自己分期缴纳个人所得税按期申报、缴税。</w:t>
      </w:r>
    </w:p>
    <w:p>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黑体" w:hAnsi="黑体" w:eastAsia="黑体" w:cs="黑体"/>
          <w:color w:val="auto"/>
          <w:sz w:val="24"/>
          <w:szCs w:val="24"/>
          <w:highlight w:val="none"/>
          <w:lang w:eastAsia="zh-CN"/>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59" w:name="_Toc1091"/>
      <w:bookmarkStart w:id="360" w:name="_Toc5027"/>
      <w:r>
        <w:rPr>
          <w:rFonts w:hint="eastAsia" w:ascii="楷体_GB2312" w:hAnsi="楷体_GB2312" w:eastAsia="楷体_GB2312" w:cs="楷体_GB2312"/>
          <w:color w:val="auto"/>
          <w:sz w:val="32"/>
          <w:szCs w:val="32"/>
          <w:highlight w:val="none"/>
          <w:lang w:val="en-US" w:eastAsia="zh-CN"/>
        </w:rPr>
        <w:t>（二）项目建设阶段</w:t>
      </w:r>
      <w:bookmarkEnd w:id="359"/>
      <w:bookmarkEnd w:id="360"/>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61" w:name="_Toc24188"/>
      <w:bookmarkStart w:id="362" w:name="_Toc32146"/>
      <w:r>
        <w:rPr>
          <w:rFonts w:hint="eastAsia" w:ascii="仿宋_GB2312" w:hAnsi="仿宋_GB2312" w:eastAsia="仿宋_GB2312" w:cs="仿宋_GB2312"/>
          <w:b/>
          <w:bCs/>
          <w:color w:val="auto"/>
          <w:kern w:val="2"/>
          <w:sz w:val="32"/>
          <w:szCs w:val="32"/>
          <w:highlight w:val="none"/>
          <w:lang w:val="en-US" w:eastAsia="zh-CN" w:bidi="ar"/>
        </w:rPr>
        <w:t>1.设备器具一次性扣除</w:t>
      </w:r>
      <w:bookmarkEnd w:id="361"/>
      <w:bookmarkEnd w:id="362"/>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外商投资企业存在不符合条件但享受设备器具一次性扣除政策优惠的风险，以及享受设备器具一次性扣除政策优惠后以后年度未做纳税调增的风险。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企业自行申报填报享受500万元以下设备器具一次性扣除的，但对应固定资产属于房屋、建筑的或资产原值超过500万元的，存在不应享而享一次性扣除风险。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企业申报享受设备器具一次性扣除政策，存在税会差异的情况下，当年度享受一次性扣除，进行了纳税调减，在后续年度需要根据会计实际折旧情况逐年进行纳税调增。对于后续年度未逐年调增的企业，存在少缴税款的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外商投资企业要注意留存备查材料，认真比对设备器具购置时间、单位价值等信息，注意核实自身在税务处理与会计处理上的情况，与企业所得税汇缴申报是否一致，后续年度调整金额是否准确。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63" w:name="_Toc2162"/>
      <w:bookmarkStart w:id="364" w:name="_Toc306"/>
      <w:r>
        <w:rPr>
          <w:rFonts w:hint="eastAsia" w:ascii="仿宋_GB2312" w:hAnsi="仿宋_GB2312" w:eastAsia="仿宋_GB2312" w:cs="仿宋_GB2312"/>
          <w:b/>
          <w:bCs/>
          <w:color w:val="auto"/>
          <w:kern w:val="2"/>
          <w:sz w:val="32"/>
          <w:szCs w:val="32"/>
          <w:highlight w:val="none"/>
          <w:lang w:val="en-US" w:eastAsia="zh-CN" w:bidi="ar"/>
        </w:rPr>
        <w:t>2.常设机构认定</w:t>
      </w:r>
      <w:bookmarkEnd w:id="363"/>
      <w:bookmarkEnd w:id="364"/>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达到常设机构认定标准，存在不缴或少缴税款的风险。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非居民达到固定场所常设机构、工程型常设机构、劳务型常设机构、非独立代理人常设机构等认定标准，但未就其在中国境内的所得缴纳税款或少缴税款。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境外投资者需审慎判断境内主体是否达到常设机构的标准，若达到常设机构的标准，关注其在中国境内是否需按规定缴纳税款。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65" w:name="_Toc20733"/>
      <w:bookmarkStart w:id="366" w:name="_Toc27162"/>
      <w:r>
        <w:rPr>
          <w:rFonts w:hint="eastAsia" w:ascii="仿宋_GB2312" w:hAnsi="仿宋_GB2312" w:eastAsia="仿宋_GB2312" w:cs="仿宋_GB2312"/>
          <w:b/>
          <w:bCs/>
          <w:color w:val="auto"/>
          <w:kern w:val="2"/>
          <w:sz w:val="32"/>
          <w:szCs w:val="32"/>
          <w:highlight w:val="none"/>
          <w:lang w:val="en-US" w:eastAsia="zh-CN" w:bidi="ar"/>
        </w:rPr>
        <w:t>3.享受协定待遇</w:t>
      </w:r>
      <w:bookmarkEnd w:id="365"/>
      <w:bookmarkEnd w:id="366"/>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错误享受税收协定优惠待遇。</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非居民纳税人在申报享受税收协定待遇之前，应自行判断是否符合享受协定待遇的条件；享受股息、利息、特许权使用费条款优惠待遇的，还需按照相关规定判断自身是否符合“受益所有人”身份。填报《非居民纳税人享受税收协定待遇信息报告表》，要核实填报享受税收协定待遇的条款、金额是否准确。如果不符合协定待遇条件、条款适用错误、享受金额填报差错，即存在未缴或少缴税款的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境外投资者享受协定待遇，应根据《非居民纳税人享受协定待遇管理办法》（国家税务总局公告2019年第35号）相关规定，按照“自行判断、申报享受、相关资料留存备查”的方式办理，重点关注自身是否符合享受协定待遇条件、相关留存备查资料是否齐全、享受协定待遇的金额与减免税款是否准确无误等。</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67" w:name="_Toc19647"/>
      <w:bookmarkStart w:id="368" w:name="_Toc12867"/>
      <w:r>
        <w:rPr>
          <w:rFonts w:hint="eastAsia" w:ascii="楷体_GB2312" w:hAnsi="楷体_GB2312" w:eastAsia="楷体_GB2312" w:cs="楷体_GB2312"/>
          <w:color w:val="auto"/>
          <w:sz w:val="32"/>
          <w:szCs w:val="32"/>
          <w:highlight w:val="none"/>
          <w:lang w:val="en-US" w:eastAsia="zh-CN"/>
        </w:rPr>
        <w:t>（三）项目投产阶段</w:t>
      </w:r>
      <w:bookmarkEnd w:id="367"/>
      <w:bookmarkEnd w:id="368"/>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69" w:name="_Toc29486"/>
      <w:bookmarkStart w:id="370" w:name="_Toc8873"/>
      <w:r>
        <w:rPr>
          <w:rFonts w:hint="eastAsia" w:ascii="仿宋_GB2312" w:hAnsi="仿宋_GB2312" w:eastAsia="仿宋_GB2312" w:cs="仿宋_GB2312"/>
          <w:b/>
          <w:bCs/>
          <w:color w:val="auto"/>
          <w:kern w:val="2"/>
          <w:sz w:val="32"/>
          <w:szCs w:val="32"/>
          <w:highlight w:val="none"/>
          <w:lang w:val="en-US" w:eastAsia="zh-CN" w:bidi="ar"/>
        </w:rPr>
        <w:t>1.人才优惠</w:t>
      </w:r>
      <w:bookmarkEnd w:id="369"/>
      <w:bookmarkEnd w:id="370"/>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外籍人员同时享受津补贴优惠及专项附加扣除风险以及递延至股权转让时未缴纳个人所得税。</w:t>
      </w:r>
    </w:p>
    <w:p>
      <w:pPr>
        <w:numPr>
          <w:ilvl w:val="0"/>
          <w:numId w:val="0"/>
        </w:numPr>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外籍人员在申报个人所得税时同时享受住房补贴、语言训练费、子女教育费等津补贴免税优惠政策和个人所得税专项附加扣除，导致少缴税款，境外投资者需对此进行关注。</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对符合条件的个人实行递延纳税政策，如技术成果投资入股等，将应缴纳的个人所得税延迟到股权转让时再缴纳税款。然而，若个人在股权转让时仍未缴纳个人所得税，就会产生税务风险。境外投资者应及时做好股权激励或技术成果投资入股递延纳税政策备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71" w:name="_Toc25997"/>
      <w:bookmarkStart w:id="372" w:name="_Toc489"/>
      <w:r>
        <w:rPr>
          <w:rFonts w:hint="eastAsia" w:ascii="仿宋_GB2312" w:hAnsi="仿宋_GB2312" w:eastAsia="仿宋_GB2312" w:cs="仿宋_GB2312"/>
          <w:b/>
          <w:bCs/>
          <w:color w:val="auto"/>
          <w:kern w:val="2"/>
          <w:sz w:val="32"/>
          <w:szCs w:val="32"/>
          <w:highlight w:val="none"/>
          <w:lang w:val="en-US" w:eastAsia="zh-CN" w:bidi="ar"/>
        </w:rPr>
        <w:t>2.对外支付</w:t>
      </w:r>
      <w:bookmarkEnd w:id="371"/>
      <w:bookmarkEnd w:id="372"/>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扣缴义务人未扣缴、少扣缴税款风险以及所得类型错误风险。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对于存在服务贸易对外支付备案的企业，存在扣缴义务人应扣未扣税款的风险。对于存在服务贸易对外支付备案的企业，申报收入金额小于对外支付金额（本次付汇金额），存在扣缴义务人少扣缴税款的风险。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自行申报或扣缴申报时，纳税人或扣缴义务人因错误选择所得类型，存在税款少缴、错缴的风险。境外投资者需关注对外支付类型、支付金额，与申报的所得类型、申报收入等是否一致。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73" w:name="_Toc8757"/>
      <w:bookmarkStart w:id="374" w:name="_Toc21609"/>
      <w:r>
        <w:rPr>
          <w:rFonts w:hint="eastAsia" w:ascii="仿宋_GB2312" w:hAnsi="仿宋_GB2312" w:eastAsia="仿宋_GB2312" w:cs="仿宋_GB2312"/>
          <w:b/>
          <w:bCs/>
          <w:color w:val="auto"/>
          <w:kern w:val="2"/>
          <w:sz w:val="32"/>
          <w:szCs w:val="32"/>
          <w:highlight w:val="none"/>
          <w:lang w:val="en-US" w:eastAsia="zh-CN" w:bidi="ar"/>
        </w:rPr>
        <w:t>3.研发优惠</w:t>
      </w:r>
      <w:bookmarkEnd w:id="373"/>
      <w:bookmarkEnd w:id="374"/>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企业享受研发费用加计扣除优惠政策，不符合条件存在不应享而享受风险。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常见的不应享而享的风险有：</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1.企业研发活动直接形成产品或作为组成部分形成的产品对外销售的，研发费用中对应的材料费用不得加计扣除。</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2.企业取得研发过程中形成的下脚料、残次品、中间试制品等特殊收入，在计算确认收入当年的加计扣除研发费用时，应从已归集研发费用中扣减该特殊收入，不足扣减的，加计扣除研发费用按零计算。</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3.企业属于负面清单行业，或是企业的研发活动不属于加计扣除的活动范围。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境外投资者应该根据加计扣除相关政策规定谨慎享受 政策优惠。</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仿宋_GB2312" w:hAnsi="仿宋_GB2312" w:eastAsia="仿宋_GB2312" w:cs="仿宋_GB2312"/>
          <w:b/>
          <w:bCs/>
          <w:color w:val="auto"/>
          <w:kern w:val="2"/>
          <w:sz w:val="32"/>
          <w:szCs w:val="32"/>
          <w:highlight w:val="none"/>
          <w:lang w:val="en-US" w:eastAsia="zh-CN" w:bidi="ar"/>
        </w:rPr>
      </w:pPr>
      <w:bookmarkStart w:id="375" w:name="_Toc4332"/>
      <w:bookmarkStart w:id="376" w:name="_Toc22791"/>
      <w:r>
        <w:rPr>
          <w:rFonts w:hint="eastAsia" w:ascii="仿宋_GB2312" w:hAnsi="仿宋_GB2312" w:eastAsia="仿宋_GB2312" w:cs="仿宋_GB2312"/>
          <w:b/>
          <w:bCs/>
          <w:color w:val="auto"/>
          <w:kern w:val="2"/>
          <w:sz w:val="32"/>
          <w:szCs w:val="32"/>
          <w:highlight w:val="none"/>
          <w:lang w:val="en-US" w:eastAsia="zh-CN" w:bidi="ar"/>
        </w:rPr>
        <w:t>4.关联交易</w:t>
      </w:r>
      <w:bookmarkEnd w:id="375"/>
      <w:bookmarkEnd w:id="376"/>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企业关联交易时存在类型填报错误风险、应提供未提供同期资料风险以及转让定价风险。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境外投资企业进行关联交易类型填报易报错类型有下列几种：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1.来料加工企业为关联方提供来料加工服务，并向关联方收取的加工费，应填报在G102000《有形资产所有权交易表》，而不是G108000《关联劳务表》。其中，“原材料—来料加工”按照企业年度进口报关价格计算填报，“产品（商品）—来料加工”按照企业年度出口报关价格计算。</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 xml:space="preserve">2.对于技术服务费，不属于特许权使用费范畴的，应作为劳务费在《关联劳务表》填报；属于特许权使用费范畴的，应在《无形资产使用权交易表》填报。     </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3.涉及研发业务的企业，如果将属于企业无形资产的研发成果所有权出让给关联方，应填报G103000《无形资产所有权交易表》；如果将属于企业无形资产的研发成果使用权出让给关联方，应填报G105000《无形资产使用权交易表》；如果是受关联方委托，仅收取劳务费用，则应填报G108000《关联劳务表》。</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同时，对于达到同期资料提交标准的企业，未按税务机关要求准备和提供同期资料，或是存在以下风险：未按要求完整披露信息；同期资料披露内容与其他资料不一致；同期资料文本内容未及时更新；同期资料披露内容避重就轻；不注重同期资料文本的规范性等。</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此外，企业与其关联方之间的业务往来，存在不符合独立交易原则而减少企业或者其关联方应纳税收入或者所得额的风险。</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黑体" w:hAnsi="黑体" w:eastAsia="黑体" w:cs="宋体"/>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77" w:name="_Toc13787"/>
      <w:bookmarkStart w:id="378" w:name="_Toc28940"/>
      <w:r>
        <w:rPr>
          <w:rFonts w:hint="eastAsia" w:ascii="仿宋_GB2312" w:hAnsi="仿宋_GB2312" w:eastAsia="仿宋_GB2312" w:cs="仿宋_GB2312"/>
          <w:b/>
          <w:bCs/>
          <w:color w:val="auto"/>
          <w:kern w:val="2"/>
          <w:sz w:val="32"/>
          <w:szCs w:val="32"/>
          <w:highlight w:val="none"/>
          <w:lang w:val="en-US" w:eastAsia="zh-CN" w:bidi="ar"/>
        </w:rPr>
        <w:t>5.</w:t>
      </w:r>
      <w:bookmarkEnd w:id="377"/>
      <w:r>
        <w:rPr>
          <w:rFonts w:hint="eastAsia" w:ascii="仿宋_GB2312" w:hAnsi="仿宋_GB2312" w:eastAsia="仿宋_GB2312" w:cs="仿宋_GB2312"/>
          <w:b/>
          <w:bCs/>
          <w:color w:val="auto"/>
          <w:kern w:val="2"/>
          <w:sz w:val="32"/>
          <w:szCs w:val="32"/>
          <w:highlight w:val="none"/>
          <w:lang w:val="en-US" w:eastAsia="zh-CN" w:bidi="ar"/>
        </w:rPr>
        <w:t>项目减免</w:t>
      </w:r>
      <w:bookmarkEnd w:id="378"/>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外商投资企业在申报企业所得税项目减免时有错误享受的风险。</w:t>
      </w:r>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企业申报享受符合条件的环境保护、节能节水项目减免企业，项目收入少于当年度企业营业收入，但未列支项目成本、相关税费、应分摊期间费用等一个或多个列次，同时主表存在营业成本、税金及附加、销售费用、管理费用和财务费用的企业，存在未合规享受项目减免风险，需进行关注。</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楷体_GB2312" w:hAnsi="楷体_GB2312" w:eastAsia="楷体_GB2312" w:cs="楷体_GB2312"/>
          <w:color w:val="auto"/>
          <w:sz w:val="32"/>
          <w:szCs w:val="32"/>
          <w:highlight w:val="none"/>
          <w:lang w:val="en-US" w:eastAsia="zh-CN"/>
        </w:rPr>
      </w:pPr>
      <w:bookmarkStart w:id="379" w:name="_Toc562"/>
      <w:bookmarkStart w:id="380" w:name="_Toc15585"/>
      <w:r>
        <w:rPr>
          <w:rFonts w:hint="eastAsia" w:ascii="楷体_GB2312" w:hAnsi="楷体_GB2312" w:eastAsia="楷体_GB2312" w:cs="楷体_GB2312"/>
          <w:color w:val="auto"/>
          <w:sz w:val="32"/>
          <w:szCs w:val="32"/>
          <w:highlight w:val="none"/>
          <w:lang w:val="en-US" w:eastAsia="zh-CN"/>
        </w:rPr>
        <w:t>（四）撤资清算阶段</w:t>
      </w:r>
      <w:bookmarkEnd w:id="379"/>
      <w:bookmarkEnd w:id="380"/>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81" w:name="_Toc166"/>
      <w:bookmarkStart w:id="382" w:name="_Toc19767"/>
      <w:r>
        <w:rPr>
          <w:rFonts w:hint="eastAsia" w:ascii="仿宋_GB2312" w:hAnsi="仿宋_GB2312" w:eastAsia="仿宋_GB2312" w:cs="仿宋_GB2312"/>
          <w:b/>
          <w:bCs/>
          <w:color w:val="auto"/>
          <w:kern w:val="2"/>
          <w:sz w:val="32"/>
          <w:szCs w:val="32"/>
          <w:highlight w:val="none"/>
          <w:lang w:val="en-US" w:eastAsia="zh-CN" w:bidi="ar"/>
        </w:rPr>
        <w:t>1.股权转让</w:t>
      </w:r>
      <w:bookmarkEnd w:id="381"/>
      <w:bookmarkEnd w:id="382"/>
    </w:p>
    <w:p>
      <w:pPr>
        <w:numPr>
          <w:ilvl w:val="0"/>
          <w:numId w:val="0"/>
        </w:numPr>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非居民企业不符合特殊性税务处理条件而少缴税款的风险。</w:t>
      </w:r>
    </w:p>
    <w:p>
      <w:pPr>
        <w:numPr>
          <w:ilvl w:val="0"/>
          <w:numId w:val="0"/>
        </w:numPr>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color w:val="auto"/>
          <w:sz w:val="32"/>
          <w:szCs w:val="32"/>
          <w:highlight w:val="none"/>
          <w:lang w:val="en-US" w:eastAsia="zh-CN"/>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对于非居民企业享受特殊性税务处理条件的，经税务部门后续管理核实不符合规定条件的，存在少缴税款的风险。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外商投资企业在享受特殊性税务处理时，需留存好备案材料，包括股权转让协议、交易双方关系等。</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default" w:ascii="仿宋_GB2312" w:hAnsi="仿宋_GB2312" w:eastAsia="仿宋_GB2312" w:cs="仿宋_GB2312"/>
          <w:b/>
          <w:bCs/>
          <w:color w:val="auto"/>
          <w:kern w:val="2"/>
          <w:sz w:val="32"/>
          <w:szCs w:val="32"/>
          <w:highlight w:val="none"/>
          <w:lang w:val="en-US" w:eastAsia="zh-CN" w:bidi="ar"/>
        </w:rPr>
      </w:pPr>
      <w:bookmarkStart w:id="383" w:name="_Toc22371"/>
      <w:bookmarkStart w:id="384" w:name="_Toc30478"/>
      <w:r>
        <w:rPr>
          <w:rFonts w:hint="eastAsia" w:ascii="仿宋_GB2312" w:hAnsi="仿宋_GB2312" w:eastAsia="仿宋_GB2312" w:cs="仿宋_GB2312"/>
          <w:b/>
          <w:bCs/>
          <w:color w:val="auto"/>
          <w:kern w:val="2"/>
          <w:sz w:val="32"/>
          <w:szCs w:val="32"/>
          <w:highlight w:val="none"/>
          <w:lang w:val="en-US" w:eastAsia="zh-CN" w:bidi="ar"/>
        </w:rPr>
        <w:t>2.撤资清算</w:t>
      </w:r>
      <w:bookmarkEnd w:id="383"/>
      <w:bookmarkEnd w:id="384"/>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【风险类型】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企业</w:t>
      </w:r>
      <w:r>
        <w:rPr>
          <w:rFonts w:hint="eastAsia" w:ascii="仿宋_GB2312" w:hAnsi="仿宋_GB2312" w:eastAsia="仿宋_GB2312" w:cs="仿宋_GB2312"/>
          <w:sz w:val="32"/>
          <w:szCs w:val="32"/>
          <w:highlight w:val="none"/>
          <w:lang w:val="en-US" w:eastAsia="zh-CN" w:bidi="ar"/>
        </w:rPr>
        <w:t>清算</w:t>
      </w:r>
      <w:r>
        <w:rPr>
          <w:rFonts w:hint="default" w:ascii="仿宋_GB2312" w:hAnsi="仿宋_GB2312" w:eastAsia="仿宋_GB2312" w:cs="仿宋_GB2312"/>
          <w:sz w:val="32"/>
          <w:szCs w:val="32"/>
          <w:highlight w:val="none"/>
          <w:lang w:val="en-US" w:eastAsia="zh-CN" w:bidi="ar"/>
        </w:rPr>
        <w:t>未申报确认清算所得</w:t>
      </w:r>
      <w:r>
        <w:rPr>
          <w:rFonts w:hint="eastAsia" w:ascii="仿宋_GB2312" w:hAnsi="仿宋_GB2312" w:eastAsia="仿宋_GB2312" w:cs="仿宋_GB2312"/>
          <w:sz w:val="32"/>
          <w:szCs w:val="32"/>
          <w:highlight w:val="none"/>
          <w:lang w:val="en-US" w:eastAsia="zh-CN" w:bidi="ar"/>
        </w:rPr>
        <w:t>风险以及非居民企业未申报股息红利所得、财产转让所得风险。</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32"/>
          <w:szCs w:val="32"/>
          <w:highlight w:val="none"/>
          <w:lang w:val="en-US" w:eastAsia="zh-CN" w:bidi="ar"/>
        </w:rPr>
      </w:pPr>
      <w:r>
        <w:rPr>
          <w:rFonts w:hint="eastAsia" w:asciiTheme="minorEastAsia" w:hAnsiTheme="minorEastAsia" w:eastAsiaTheme="minorEastAsia" w:cstheme="minorEastAsia"/>
          <w:sz w:val="32"/>
          <w:szCs w:val="32"/>
          <w:highlight w:val="none"/>
          <w:lang w:val="en-US" w:eastAsia="zh-CN" w:bidi="ar"/>
        </w:rPr>
        <w:t>【风险描述】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企业在年度中间终止经营活动的，企业在注销之前所得税需要进行清算企业所得税申报，对于未按规定期限办理纳税申报或未按期缴纳税款的企业，存在未申报确认清算所得的风险。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t>对于非居民企业涉及撤资清算，从被投资企业获得的股息红利、财产转让所得，</w:t>
      </w:r>
      <w:r>
        <w:rPr>
          <w:rFonts w:hint="eastAsia" w:ascii="仿宋_GB2312" w:hAnsi="仿宋_GB2312" w:eastAsia="仿宋_GB2312" w:cs="仿宋_GB2312"/>
          <w:sz w:val="32"/>
          <w:szCs w:val="32"/>
          <w:highlight w:val="none"/>
          <w:lang w:val="en-US" w:eastAsia="zh-CN" w:bidi="ar"/>
        </w:rPr>
        <w:t>未</w:t>
      </w:r>
      <w:r>
        <w:rPr>
          <w:rFonts w:hint="default" w:ascii="仿宋_GB2312" w:hAnsi="仿宋_GB2312" w:eastAsia="仿宋_GB2312" w:cs="仿宋_GB2312"/>
          <w:sz w:val="32"/>
          <w:szCs w:val="32"/>
          <w:highlight w:val="none"/>
          <w:lang w:val="en-US" w:eastAsia="zh-CN" w:bidi="ar"/>
        </w:rPr>
        <w:t>进行自行申报或扣缴申报，存在应申报未申报税款风险。</w:t>
      </w:r>
    </w:p>
    <w:p>
      <w:pPr>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val="en-US" w:eastAsia="zh-CN" w:bidi="ar"/>
        </w:rPr>
        <w:br w:type="page"/>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仿宋_GB2312" w:hAnsi="仿宋_GB2312" w:eastAsia="仿宋_GB2312" w:cs="仿宋_GB2312"/>
          <w:sz w:val="32"/>
          <w:szCs w:val="32"/>
          <w:highlight w:val="none"/>
          <w:lang w:val="en-US" w:eastAsia="zh-CN" w:bidi="ar"/>
        </w:rPr>
      </w:pPr>
      <w:bookmarkStart w:id="385" w:name="_Toc10746"/>
      <w:bookmarkStart w:id="386" w:name="_Toc837"/>
      <w:r>
        <w:rPr>
          <w:rFonts w:hint="eastAsia" w:ascii="黑体" w:hAnsi="黑体" w:eastAsia="黑体" w:cs="黑体"/>
          <w:color w:val="auto"/>
          <w:sz w:val="32"/>
          <w:szCs w:val="32"/>
          <w:highlight w:val="none"/>
          <w:lang w:eastAsia="zh-CN"/>
        </w:rPr>
        <w:t>五、常见问题解答</w:t>
      </w:r>
      <w:bookmarkEnd w:id="385"/>
      <w:bookmarkEnd w:id="38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_GB2312" w:hAnsi="仿宋_GB2312" w:eastAsia="仿宋_GB2312" w:cs="仿宋_GB2312"/>
          <w:b/>
          <w:bCs/>
          <w:sz w:val="32"/>
          <w:szCs w:val="32"/>
          <w:highlight w:val="none"/>
          <w:lang w:eastAsia="zh-CN"/>
        </w:rPr>
      </w:pPr>
      <w:bookmarkStart w:id="387" w:name="_Toc19580"/>
      <w:bookmarkStart w:id="388" w:name="_Toc27808"/>
      <w:r>
        <w:rPr>
          <w:rFonts w:hint="eastAsia" w:ascii="楷体_GB2312" w:hAnsi="楷体_GB2312" w:eastAsia="楷体_GB2312" w:cs="楷体_GB2312"/>
          <w:b w:val="0"/>
          <w:bCs w:val="0"/>
          <w:sz w:val="32"/>
          <w:szCs w:val="32"/>
          <w:highlight w:val="none"/>
          <w:lang w:val="en-US" w:eastAsia="zh-CN"/>
        </w:rPr>
        <w:t>（一）项目投资阶段</w:t>
      </w:r>
      <w:bookmarkEnd w:id="387"/>
      <w:bookmarkEnd w:id="388"/>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rPr>
      </w:pPr>
      <w:bookmarkStart w:id="389" w:name="_Toc31255"/>
      <w:bookmarkStart w:id="390" w:name="_Toc17662"/>
      <w:r>
        <w:rPr>
          <w:rFonts w:hint="eastAsia" w:ascii="仿宋_GB2312" w:hAnsi="仿宋_GB2312" w:eastAsia="仿宋_GB2312" w:cs="仿宋_GB2312"/>
          <w:b/>
          <w:bCs/>
          <w:sz w:val="32"/>
          <w:szCs w:val="32"/>
          <w:highlight w:val="none"/>
          <w:lang w:val="en-US" w:eastAsia="zh-CN"/>
        </w:rPr>
        <w:t>1.问：</w:t>
      </w:r>
      <w:r>
        <w:rPr>
          <w:rFonts w:hint="eastAsia" w:ascii="仿宋_GB2312" w:hAnsi="仿宋_GB2312" w:eastAsia="仿宋_GB2312" w:cs="仿宋_GB2312"/>
          <w:b/>
          <w:bCs/>
          <w:sz w:val="32"/>
          <w:szCs w:val="32"/>
          <w:highlight w:val="none"/>
        </w:rPr>
        <w:t>是否有专门支持外国投资者在当地设立公司的政府服务（包括公司注册、税务、会计、货币管制等方面的咨询答疑和合规性指导）？</w:t>
      </w:r>
      <w:bookmarkEnd w:id="389"/>
      <w:bookmarkEnd w:id="390"/>
      <w:r>
        <w:rPr>
          <w:rFonts w:hint="eastAsia" w:ascii="仿宋_GB2312" w:hAnsi="仿宋_GB2312" w:eastAsia="仿宋_GB2312" w:cs="仿宋_GB2312"/>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rPr>
        <w:t>答：</w:t>
      </w:r>
      <w:r>
        <w:rPr>
          <w:rFonts w:hint="eastAsia" w:ascii="仿宋_GB2312" w:hAnsi="仿宋_GB2312" w:eastAsia="仿宋_GB2312" w:cs="仿宋_GB2312"/>
          <w:sz w:val="32"/>
          <w:szCs w:val="32"/>
          <w:highlight w:val="none"/>
        </w:rPr>
        <w:t>税务部门现已设立12366国际税收服务热线跨境税收服务专线，配备中英等多语种坐席，为跨境主体提供政策咨询及办税引导，此外，12366上海（国际）纳税服务中心上线了智能语音咨询系统，实现英语来电虚拟坐席实时应答，实现英日韩等8语种税费咨询。如需税务相关的政府服务，可通过税务部门热线、专线咨询。</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391" w:name="_Toc11332"/>
      <w:bookmarkStart w:id="392" w:name="_Toc7442"/>
      <w:r>
        <w:rPr>
          <w:rFonts w:hint="eastAsia" w:ascii="仿宋_GB2312" w:hAnsi="仿宋_GB2312" w:eastAsia="仿宋_GB2312" w:cs="仿宋_GB2312"/>
          <w:b/>
          <w:bCs/>
          <w:sz w:val="32"/>
          <w:szCs w:val="32"/>
          <w:highlight w:val="none"/>
          <w:lang w:val="en-US" w:eastAsia="zh-CN"/>
        </w:rPr>
        <w:t>2.问：企业刚拿到营业执照，但离办税服务厅比较远，可以线上办理税务登记吗？</w:t>
      </w:r>
      <w:bookmarkEnd w:id="391"/>
      <w:bookmarkEnd w:id="392"/>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从事生产、经营的纳税人应当自领取营业执照之日起30日内，向生产、经营地或者纳税义务发生地主管税务机关申报办理税务登记。如果不方便前往线下办理，也可以线上办理。企业进入新电子税局首页，点击【新办纳税人场景】进行信息确认、存款账户账号报告、网签三方协议等业务办理。提交成功后，等待税务部门处理结果。</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393" w:name="_Toc23615"/>
      <w:bookmarkStart w:id="394" w:name="_Toc12076"/>
      <w:r>
        <w:rPr>
          <w:rFonts w:hint="eastAsia" w:ascii="仿宋_GB2312" w:hAnsi="仿宋_GB2312" w:eastAsia="仿宋_GB2312" w:cs="仿宋_GB2312"/>
          <w:b/>
          <w:bCs/>
          <w:sz w:val="32"/>
          <w:szCs w:val="32"/>
          <w:highlight w:val="none"/>
          <w:lang w:val="en-US" w:eastAsia="zh-CN"/>
        </w:rPr>
        <w:t>3.问：如何在网上申请新增税（费）种认定，或查询企业已有的税（费）种认定信息？</w:t>
      </w:r>
      <w:bookmarkEnd w:id="393"/>
      <w:bookmarkEnd w:id="394"/>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（1）新增税（费）种认定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登录新电子税局进入首页点击【我要办税】，在展开菜单中点击【综合信息报告】-【应申报税费种信息报告】，点击【新增】，根据企业实际情况，添加所需要的税费种认定，选择征收项目等信息，核对无误后，点击【提交】。提交成功后，等待主管税务机关受理。主管税务机关受理完成税（费）种认定后，按规定期限申报纳税。</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b w:val="0"/>
          <w:bCs w:val="0"/>
          <w:sz w:val="32"/>
          <w:szCs w:val="32"/>
          <w:highlight w:val="none"/>
          <w:lang w:val="en-US" w:eastAsia="zh-CN"/>
        </w:rPr>
        <w:t>查询税（费）种认定信息</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登录新电子税局进入首页点击【我要查询】-【一户式查询】-【纳税人信息查询】。点击【税费种认定信息】即可完成查询。</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395" w:name="_Toc13848"/>
      <w:bookmarkStart w:id="396" w:name="_Toc19570"/>
      <w:r>
        <w:rPr>
          <w:rFonts w:hint="eastAsia" w:ascii="仿宋_GB2312" w:hAnsi="仿宋_GB2312" w:eastAsia="仿宋_GB2312" w:cs="仿宋_GB2312"/>
          <w:b/>
          <w:bCs/>
          <w:sz w:val="32"/>
          <w:szCs w:val="32"/>
          <w:highlight w:val="none"/>
          <w:lang w:val="en-US" w:eastAsia="zh-CN"/>
        </w:rPr>
        <w:t>4.问：在新电子税局中如何变更财务负责人和办税员？</w:t>
      </w:r>
      <w:bookmarkEnd w:id="395"/>
      <w:bookmarkEnd w:id="396"/>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财务负责人、办税员、开票员信息发生变更时，可登录新电子税局，通过【涉税市场主体身份信息变更】功能，点击【新增】，选择变更项目，填写【变更后内容】，确认无误后勾选变更项目，点击【确定】，完成信息变更。</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如果需要新增办税员、开票员，企业法定代表人、财务负责人和管理员还可通过门户右上角的【账户中心】进入【添加办税人员】功能进行维护。</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如果需要删除办税员、开票员，企业法定代表人、财务负责人和管理员还可通过门户右上角的【账户中心】进入【现有办税人员】功能进行维护。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需要说明的是：通过账户中心添加办税人员，可以由自然人发起；通过新电子税局【涉税市场主体身份信息变更】发起添加办税人员，只能由企业登录后发起。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_GB2312" w:hAnsi="仿宋_GB2312" w:eastAsia="仿宋_GB2312" w:cs="仿宋_GB2312"/>
          <w:b/>
          <w:bCs/>
          <w:sz w:val="32"/>
          <w:szCs w:val="32"/>
          <w:highlight w:val="none"/>
          <w:lang w:eastAsia="zh-CN"/>
        </w:rPr>
      </w:pPr>
      <w:bookmarkStart w:id="397" w:name="_Toc22947"/>
      <w:bookmarkStart w:id="398" w:name="_Toc27605"/>
      <w:r>
        <w:rPr>
          <w:rFonts w:hint="eastAsia" w:ascii="楷体_GB2312" w:hAnsi="楷体_GB2312" w:eastAsia="楷体_GB2312" w:cs="楷体_GB2312"/>
          <w:b w:val="0"/>
          <w:bCs w:val="0"/>
          <w:sz w:val="32"/>
          <w:szCs w:val="32"/>
          <w:highlight w:val="none"/>
          <w:lang w:val="en-US" w:eastAsia="zh-CN"/>
        </w:rPr>
        <w:t>（二）项目建设阶段</w:t>
      </w:r>
      <w:bookmarkEnd w:id="397"/>
      <w:bookmarkEnd w:id="398"/>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399" w:name="_Toc20592"/>
      <w:bookmarkStart w:id="400" w:name="_Toc4668"/>
      <w:r>
        <w:rPr>
          <w:rFonts w:hint="eastAsia" w:ascii="仿宋_GB2312" w:hAnsi="仿宋_GB2312" w:eastAsia="仿宋_GB2312" w:cs="仿宋_GB2312"/>
          <w:b/>
          <w:bCs/>
          <w:sz w:val="32"/>
          <w:szCs w:val="32"/>
          <w:highlight w:val="none"/>
          <w:lang w:val="en-US" w:eastAsia="zh-CN"/>
        </w:rPr>
        <w:t>1.问：如何在新电子税局中申请发票领购？</w:t>
      </w:r>
      <w:bookmarkEnd w:id="399"/>
      <w:bookmarkEnd w:id="400"/>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登录新电子税局后，点击【我要办税】-【发票业务】-【发票用票需求申请】功能菜单。</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若纳税人为“首次”发票票种核定，可点击【增行】，填写需要申请的发票票种核定信息。</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如果为非一般纳税人的首次票种核定不进行预填，可点击【增行】，填写需要申请的发票票种核定信息。</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若纳税人为“非首次”发票票种核定，系统自动带出当前有效票种核定申请信息；可点击【新增】，填写需要申请的发票票种核定信息，也可对已申请发票票种核定信息进行修改。</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01" w:name="_Toc10667"/>
      <w:bookmarkStart w:id="402" w:name="_Toc4801"/>
      <w:r>
        <w:rPr>
          <w:rFonts w:hint="eastAsia" w:ascii="仿宋_GB2312" w:hAnsi="仿宋_GB2312" w:eastAsia="仿宋_GB2312" w:cs="仿宋_GB2312"/>
          <w:b/>
          <w:bCs/>
          <w:sz w:val="32"/>
          <w:szCs w:val="32"/>
          <w:highlight w:val="none"/>
          <w:lang w:val="en-US" w:eastAsia="zh-CN"/>
        </w:rPr>
        <w:t>2.问：外商投资企业与境外公司发生业务往来，需对外支付并扣缴税款，具体如何操作？</w:t>
      </w:r>
      <w:bookmarkEnd w:id="401"/>
      <w:bookmarkEnd w:id="402"/>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企业可登陆新电子税局，通过【对外支付综合办税】模块进行办理。</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第一步，以自然人身份或企业身份（扣缴义务人）登陆新电子税局，进入【非居民企业身份信息采集】模块采集非居民企业信息，生成</w:t>
      </w:r>
      <w:r>
        <w:rPr>
          <w:rFonts w:hint="default" w:ascii="仿宋_GB2312" w:hAnsi="仿宋_GB2312" w:eastAsia="仿宋_GB2312" w:cs="仿宋_GB2312"/>
          <w:b w:val="0"/>
          <w:bCs w:val="0"/>
          <w:sz w:val="32"/>
          <w:szCs w:val="32"/>
          <w:highlight w:val="none"/>
          <w:lang w:val="en-US" w:eastAsia="zh-CN"/>
        </w:rPr>
        <w:t>FJ</w:t>
      </w:r>
      <w:r>
        <w:rPr>
          <w:rFonts w:hint="eastAsia" w:ascii="仿宋_GB2312" w:hAnsi="仿宋_GB2312" w:eastAsia="仿宋_GB2312" w:cs="仿宋_GB2312"/>
          <w:b w:val="0"/>
          <w:bCs w:val="0"/>
          <w:sz w:val="32"/>
          <w:szCs w:val="32"/>
          <w:highlight w:val="none"/>
          <w:lang w:val="en-US" w:eastAsia="zh-CN"/>
        </w:rPr>
        <w:t>开头的18位非居民身份码。该身份码为非居民企业在境内的唯一纳税编码，可在全国税务机关办税前台或新电子税局办理相关涉税事宜。</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第二步，进入【跨境交易合同信息管理】填写合同相关内容，若“支付所得类型”选择“承包工程、提供劳务”或“国际运输”的，还需填写《境内机构和个人发包工程作业或劳务项目管理》合同。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第三步，通过【对外支付综合办税】功能，智能辅助申报，税款计算结果出来后经纳税人确认，系统自动生成扣缴企业所得税报告表。或直接通过【扣缴企业所得税报告】模块进行申报。若企业享受协定待遇或者享受境外投资者再投资递延纳税，在申报时需同步填报《非居民纳税人享受协定待遇信息报告表》或《境外投资者递延缴纳预提所得税报告》。</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rPr>
      </w:pPr>
      <w:bookmarkStart w:id="403" w:name="_Toc32583"/>
      <w:bookmarkStart w:id="404" w:name="_Toc29105"/>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eastAsia="zh-CN"/>
        </w:rPr>
        <w:t>问：</w:t>
      </w:r>
      <w:r>
        <w:rPr>
          <w:rFonts w:hint="eastAsia" w:ascii="仿宋_GB2312" w:hAnsi="仿宋_GB2312" w:eastAsia="仿宋_GB2312" w:cs="仿宋_GB2312"/>
          <w:b/>
          <w:bCs/>
          <w:sz w:val="32"/>
          <w:szCs w:val="32"/>
          <w:highlight w:val="none"/>
        </w:rPr>
        <w:t>源泉扣缴与指定扣缴有什么区别？</w:t>
      </w:r>
      <w:bookmarkEnd w:id="403"/>
      <w:bookmarkEnd w:id="404"/>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eastAsia="zh-CN"/>
        </w:rPr>
        <w:t>答：</w:t>
      </w:r>
      <w:r>
        <w:rPr>
          <w:rFonts w:hint="eastAsia" w:ascii="仿宋_GB2312" w:hAnsi="仿宋_GB2312" w:eastAsia="仿宋_GB2312" w:cs="仿宋_GB2312"/>
          <w:sz w:val="32"/>
          <w:szCs w:val="32"/>
          <w:highlight w:val="none"/>
          <w:lang w:eastAsia="zh-CN"/>
        </w:rPr>
        <w:t>根据《企业所得税法》第三条和第三十七条的有关规定，源泉扣缴是指对非居民企业在中国境内未设立机构、场所的，或者虽设立机构、场所但取得的所得与其所设机构、场所没有实际联系的，对其来源于中国境内的所得应缴纳的所得税，以支付人为扣缴义务人，税款由扣缴义务人在每次支付或者到期应支付时，从支付或者到期应支付的款项中扣缴。根据《企业所得税法》第三十八条和《企业所得税法实施条例》第一百零六条的有关规定，指定扣缴是指对非居民企业在中国境内取得工程作业和劳务所得应缴纳的所得税，在规定情形下，税务机关可以指定工程价款或者劳务费的支付人为扣缴义务人，并同时告知扣缴义务人所扣税款的计算依据、计算方法、扣缴期限和扣缴方式。规定情形包括：（一）预计工程作业或者提供劳务期限不足一个纳税年度，且有证据表明不履行纳税义务的；（二）没有办理税务登记或者临时税务登记，且未委托中国境内的代理人履行纳税义务的；（三）未按照规定期限办理企业所得税纳税申报或者预缴申报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源泉扣缴与指定扣缴的主要区别在于，发生前者项下的扣缴义务无需经税务机关指定，而发生后者项下的扣缴义务需经税务机关指定。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rPr>
      </w:pPr>
      <w:bookmarkStart w:id="405" w:name="_Toc19451"/>
      <w:bookmarkStart w:id="406" w:name="_Toc16469"/>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lang w:eastAsia="zh-CN"/>
        </w:rPr>
        <w:t>问：什么情况下企业或个人可以向税务机关申请开具《中国税收居民身份证明》？</w:t>
      </w:r>
      <w:bookmarkEnd w:id="405"/>
      <w:bookmarkEnd w:id="406"/>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eastAsia="zh-CN"/>
        </w:rPr>
        <w:t>答：</w:t>
      </w:r>
      <w:r>
        <w:rPr>
          <w:rFonts w:hint="eastAsia" w:ascii="仿宋_GB2312" w:hAnsi="仿宋_GB2312" w:eastAsia="仿宋_GB2312" w:cs="仿宋_GB2312"/>
          <w:sz w:val="32"/>
          <w:szCs w:val="32"/>
          <w:highlight w:val="none"/>
          <w:lang w:eastAsia="zh-CN"/>
        </w:rPr>
        <w:t>根据《国家税务总局关于</w:t>
      </w:r>
      <w:r>
        <w:rPr>
          <w:rFonts w:hint="eastAsia" w:ascii="仿宋_GB2312" w:hAnsi="仿宋_GB2312" w:eastAsia="仿宋_GB2312" w:cs="仿宋_GB2312"/>
          <w:sz w:val="32"/>
          <w:szCs w:val="32"/>
          <w:highlight w:val="none"/>
          <w:lang w:val="en-US" w:eastAsia="zh-CN"/>
        </w:rPr>
        <w:t>&lt;</w:t>
      </w:r>
      <w:r>
        <w:rPr>
          <w:rFonts w:hint="eastAsia" w:ascii="仿宋_GB2312" w:hAnsi="仿宋_GB2312" w:eastAsia="仿宋_GB2312" w:cs="仿宋_GB2312"/>
          <w:sz w:val="32"/>
          <w:szCs w:val="32"/>
          <w:highlight w:val="none"/>
          <w:lang w:eastAsia="zh-CN"/>
        </w:rPr>
        <w:t>中国税收居民身份证明</w:t>
      </w:r>
      <w:r>
        <w:rPr>
          <w:rFonts w:hint="eastAsia" w:ascii="仿宋_GB2312" w:hAnsi="仿宋_GB2312" w:eastAsia="仿宋_GB2312" w:cs="仿宋_GB2312"/>
          <w:sz w:val="32"/>
          <w:szCs w:val="32"/>
          <w:highlight w:val="none"/>
          <w:lang w:val="en-US" w:eastAsia="zh-CN"/>
        </w:rPr>
        <w:t>&gt;</w:t>
      </w:r>
      <w:r>
        <w:rPr>
          <w:rFonts w:hint="eastAsia" w:ascii="仿宋_GB2312" w:hAnsi="仿宋_GB2312" w:eastAsia="仿宋_GB2312" w:cs="仿宋_GB2312"/>
          <w:sz w:val="32"/>
          <w:szCs w:val="32"/>
          <w:highlight w:val="none"/>
          <w:lang w:eastAsia="zh-CN"/>
        </w:rPr>
        <w:t>有关事项的公告》（国家税务总局公告20</w:t>
      </w:r>
      <w:r>
        <w:rPr>
          <w:rFonts w:hint="eastAsia" w:ascii="仿宋_GB2312" w:hAnsi="仿宋_GB2312" w:eastAsia="仿宋_GB2312" w:cs="仿宋_GB2312"/>
          <w:sz w:val="32"/>
          <w:szCs w:val="32"/>
          <w:highlight w:val="none"/>
          <w:lang w:val="en-US" w:eastAsia="zh-CN"/>
        </w:rPr>
        <w:t>25</w:t>
      </w:r>
      <w:r>
        <w:rPr>
          <w:rFonts w:hint="eastAsia" w:ascii="仿宋_GB2312" w:hAnsi="仿宋_GB2312" w:eastAsia="仿宋_GB2312" w:cs="仿宋_GB2312"/>
          <w:sz w:val="32"/>
          <w:szCs w:val="32"/>
          <w:highlight w:val="none"/>
          <w:lang w:eastAsia="zh-CN"/>
        </w:rPr>
        <w:t>年第</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号）第一条规定，企业或者个人可以就其构成中国税收居民的任一公历年度向其主管税务机关申请开具《税收居民证明》。第三条第（二）款规定，根据不同申请目的提供以下资料：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）以享受协定待遇目的申请开具《税收居民证明》的，提交与拟享受协定待遇收入有关的合同、协议、董事会或者股东会决议、相关支付凭证等证明资料。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以非享受协定待遇目的申请开具《税收居民证明》的，提交能证明申请目的真实性的有关材料，如政府监管部门等出具的需申请人提供《税收居民证明》的正式文书，或者有关法律依据、其他能证明申请目的真实性的材料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b w:val="0"/>
          <w:bCs w:val="0"/>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07" w:name="_Toc26872"/>
      <w:bookmarkStart w:id="408" w:name="_Toc11069"/>
      <w:r>
        <w:rPr>
          <w:rFonts w:hint="eastAsia" w:ascii="仿宋_GB2312" w:hAnsi="仿宋_GB2312" w:eastAsia="仿宋_GB2312" w:cs="仿宋_GB2312"/>
          <w:b/>
          <w:bCs/>
          <w:sz w:val="32"/>
          <w:szCs w:val="32"/>
          <w:highlight w:val="none"/>
          <w:lang w:val="en-US" w:eastAsia="zh-CN"/>
        </w:rPr>
        <w:t>5.问：如何查看企业的纳税信用级别以及扣分明细？</w:t>
      </w:r>
      <w:bookmarkEnd w:id="407"/>
      <w:bookmarkEnd w:id="408"/>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楷体_GB2312" w:hAnsi="楷体_GB2312" w:eastAsia="楷体_GB2312" w:cs="楷体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登录新电子税局，通过首页右上角搜索栏输入“纳税信用管理”进入；或者点击【我要办税】-【纳税信用】-【纳税信用管理】功能菜单。进入纳税信用管理模块后，切换评价年度，可以查看不同年度的纳税信用评价情况和扣分明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_GB2312" w:hAnsi="仿宋_GB2312" w:eastAsia="仿宋_GB2312" w:cs="仿宋_GB2312"/>
          <w:b/>
          <w:bCs/>
          <w:sz w:val="32"/>
          <w:szCs w:val="32"/>
          <w:highlight w:val="none"/>
          <w:lang w:eastAsia="zh-CN"/>
        </w:rPr>
      </w:pPr>
      <w:bookmarkStart w:id="409" w:name="_Toc1443"/>
      <w:bookmarkStart w:id="410" w:name="_Toc24448"/>
      <w:r>
        <w:rPr>
          <w:rFonts w:hint="eastAsia" w:ascii="楷体_GB2312" w:hAnsi="楷体_GB2312" w:eastAsia="楷体_GB2312" w:cs="楷体_GB2312"/>
          <w:b w:val="0"/>
          <w:bCs w:val="0"/>
          <w:sz w:val="32"/>
          <w:szCs w:val="32"/>
          <w:highlight w:val="none"/>
          <w:lang w:val="en-US" w:eastAsia="zh-CN"/>
        </w:rPr>
        <w:t>（三）项目投产阶段</w:t>
      </w:r>
      <w:bookmarkEnd w:id="409"/>
      <w:bookmarkEnd w:id="410"/>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411" w:name="_Toc12314"/>
      <w:bookmarkStart w:id="412" w:name="_Toc7664"/>
      <w:r>
        <w:rPr>
          <w:rFonts w:hint="eastAsia" w:ascii="仿宋_GB2312" w:hAnsi="仿宋_GB2312" w:eastAsia="仿宋_GB2312" w:cs="仿宋_GB2312"/>
          <w:b/>
          <w:bCs/>
          <w:sz w:val="32"/>
          <w:szCs w:val="32"/>
          <w:highlight w:val="none"/>
          <w:lang w:val="en-US" w:eastAsia="zh-CN"/>
        </w:rPr>
        <w:t>1.问：新电子税局上线后，公司在哪里办理单位社保费业务？</w:t>
      </w:r>
      <w:bookmarkEnd w:id="411"/>
      <w:bookmarkEnd w:id="412"/>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由于新电子税局的建设范围不包括社保费业务功能，因此社保费业务通过【地方特色】页面集成原电子税务局功能。以上海为例，具体操作路径如下所示：</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（1）点击新电子税局主页上方【地方特色】按钮进入地方特色专区。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sz w:val="32"/>
          <w:szCs w:val="32"/>
          <w:highlight w:val="none"/>
          <w:lang w:val="en-US" w:eastAsia="zh-CN"/>
        </w:rPr>
        <w:t>（2）选择【社保业务】页签。如果需要进行单位社保费申报和缴费，可点击【申报缴费】中的【单位社保费申报】和【单位社保费缴费】功能。</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rPr>
      </w:pPr>
      <w:bookmarkStart w:id="413" w:name="_Toc6042"/>
      <w:bookmarkStart w:id="414" w:name="_Toc28302"/>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eastAsia="zh-CN"/>
        </w:rPr>
        <w:t>问：外籍居民个人能同时享受“老八项”补贴个税免税和专项附加扣除吗？</w:t>
      </w:r>
      <w:bookmarkEnd w:id="413"/>
      <w:bookmarkEnd w:id="414"/>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bCs/>
          <w:sz w:val="32"/>
          <w:szCs w:val="32"/>
          <w:highlight w:val="none"/>
          <w:lang w:eastAsia="zh-CN"/>
        </w:rPr>
        <w:t>答：</w:t>
      </w:r>
      <w:r>
        <w:rPr>
          <w:rFonts w:hint="eastAsia" w:ascii="仿宋_GB2312" w:hAnsi="仿宋_GB2312" w:eastAsia="仿宋_GB2312" w:cs="仿宋_GB2312"/>
          <w:b w:val="0"/>
          <w:bCs w:val="0"/>
          <w:sz w:val="32"/>
          <w:szCs w:val="32"/>
          <w:highlight w:val="none"/>
          <w:lang w:eastAsia="zh-CN"/>
        </w:rPr>
        <w:t>根据《财政部 税务总局关于延续实施外籍个人有关津补贴个人所得税政策的公告》（财政部 税务总局公告2023年第29号）规定，外籍个人符合居民个人条件的，可以选择享受个人所得税专项附加扣除，也可以选择按照《财政部 国家税务总局关于个人所得税若干政策问题的通知》（财税字〔1994〕020号）、《国家税务总局关于外籍个人取得有关补贴征免个人所得税执行问题的通知》（国税发〔1997〕54号）和《财政部 国家税务总局关于外籍个人取得港澳地区住房等补贴征免个人所得税的通知》（财税〔2004〕29号）规定，享受住房补贴、语言训练费、子女教育费等津补贴免税优惠政策，但不得同时享受。外籍个人一经选择，在一个纳税年度内不得变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val="0"/>
          <w:bCs w:val="0"/>
          <w:sz w:val="32"/>
          <w:szCs w:val="32"/>
          <w:highlight w:val="none"/>
          <w:lang w:eastAsia="zh-CN"/>
        </w:rPr>
        <w:t>对于存在重复扣除的，可在更正时选择享受外籍个人津补贴政策或专项附加扣除政策。若是更正以往年度的个人所得税汇算清缴申报表并产生补税，需要缴纳滞纳金。</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rPr>
      </w:pPr>
      <w:bookmarkStart w:id="415" w:name="_Toc17109"/>
      <w:bookmarkStart w:id="416" w:name="_Toc11421"/>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eastAsia="zh-CN"/>
        </w:rPr>
        <w:t>问：企业办理出口货物退（免）税申报的程序和期限是如何规定的？</w:t>
      </w:r>
      <w:bookmarkEnd w:id="415"/>
      <w:bookmarkEnd w:id="416"/>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eastAsia="zh-CN"/>
        </w:rPr>
        <w:t>答：</w:t>
      </w:r>
      <w:r>
        <w:rPr>
          <w:rFonts w:hint="eastAsia" w:ascii="仿宋_GB2312" w:hAnsi="仿宋_GB2312" w:eastAsia="仿宋_GB2312" w:cs="仿宋_GB2312"/>
          <w:sz w:val="32"/>
          <w:szCs w:val="32"/>
          <w:highlight w:val="none"/>
          <w:lang w:eastAsia="zh-CN"/>
        </w:rPr>
        <w:t>生产企业应在货物报关出口之日次月起至次年4月30日前的各增值税纳税申报期内收齐有关凭证，向主管税务机关申报办理出口货物增值税免抵退税及消费税退税。外贸企业应在货物报关出口之日次月起至次年4月30日前的各增值税纳税申报期内，收齐有关凭证，向主管税务机关申报办理出口货物增值税、消费税免退税申报。经主管税务机关批准的，外贸企业在增值税纳税申报期以外的其他时间也可办理免退税申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未在规定期限内申报出口退（免）税或者开具《代理出口货物证明》的，在收齐退（免）税凭证及相关电子信息后，即可申报办理出口退（免）税；未在规定期限内收汇或者办理不能收汇手续的，在收汇或者办理不能收汇手续后，即可申报办理退（免）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highlight w:val="none"/>
          <w:lang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17" w:name="_Toc31629"/>
      <w:bookmarkStart w:id="418" w:name="_Toc17595"/>
      <w:r>
        <w:rPr>
          <w:rFonts w:hint="eastAsia" w:ascii="仿宋_GB2312" w:hAnsi="仿宋_GB2312" w:eastAsia="仿宋_GB2312" w:cs="仿宋_GB2312"/>
          <w:b/>
          <w:bCs/>
          <w:sz w:val="32"/>
          <w:szCs w:val="32"/>
          <w:highlight w:val="none"/>
          <w:lang w:val="en-US" w:eastAsia="zh-CN"/>
        </w:rPr>
        <w:t>4.问：外商投资企业与境外关联方发生关联交易时，如何进行关联申报？</w:t>
      </w:r>
      <w:bookmarkEnd w:id="417"/>
      <w:bookmarkEnd w:id="418"/>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实行查账征收的居民企业和在中国境内设立机构、场所并据实申报缴纳企业所得税的非居民企业向税务机关报送年度企业所得税纳税申报表时，应当就其与关联方之间的业务往来进行关联申报，附送《中华人民共和国企业年度关联业务往来报告表(2016年版)》。</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sz w:val="32"/>
          <w:szCs w:val="32"/>
          <w:highlight w:val="none"/>
          <w:lang w:val="en-US" w:eastAsia="zh-CN"/>
        </w:rPr>
        <w:t>企业登陆新电子税局后，点击【关联业务往来年度报告申报】模块选择符合企业本年度的关联交易情况，并填写申报表中的内容，提交申报后，启动自动审核校验，判断表内、表间数据是否一致，纳税人填报信息是否正确，审核校验通过则完成申报。</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419" w:name="_Toc22766"/>
      <w:bookmarkStart w:id="420" w:name="_Toc6471"/>
      <w:r>
        <w:rPr>
          <w:rFonts w:hint="eastAsia" w:ascii="仿宋_GB2312" w:hAnsi="仿宋_GB2312" w:eastAsia="仿宋_GB2312" w:cs="仿宋_GB2312"/>
          <w:b/>
          <w:bCs/>
          <w:sz w:val="32"/>
          <w:szCs w:val="32"/>
          <w:highlight w:val="none"/>
          <w:lang w:val="en-US" w:eastAsia="zh-CN"/>
        </w:rPr>
        <w:t>5.问：办理纳税申报后，发现申报表存在错误该如何操作？</w:t>
      </w:r>
      <w:bookmarkEnd w:id="419"/>
      <w:bookmarkEnd w:id="420"/>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登录新电子税局，点击【我要办税】 -【税费申报及缴纳】-【申报更正与作废】功能菜单。进入界面后，纳税人可选择申报日期范围、税款所属期等筛选条件。如果需要根据申报表名称进行查询，点击【展开】进行申报表的选择，点击【查询】，对已完成申报的申报表信息进行查询。纳税人从查询结果列表中，通过“操作”列点击【更正】、【作废】完成对应申报表单的相关操作。</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b/>
          <w:bCs/>
          <w:sz w:val="32"/>
          <w:szCs w:val="32"/>
          <w:highlight w:val="none"/>
          <w:lang w:val="en-US" w:eastAsia="zh-CN"/>
        </w:rPr>
      </w:pPr>
      <w:bookmarkStart w:id="421" w:name="_Toc29083"/>
      <w:bookmarkStart w:id="422" w:name="_Toc30998"/>
      <w:r>
        <w:rPr>
          <w:rFonts w:hint="eastAsia" w:ascii="仿宋_GB2312" w:hAnsi="仿宋_GB2312" w:eastAsia="仿宋_GB2312" w:cs="仿宋_GB2312"/>
          <w:b/>
          <w:bCs/>
          <w:sz w:val="32"/>
          <w:szCs w:val="32"/>
          <w:highlight w:val="none"/>
          <w:lang w:val="en-US" w:eastAsia="zh-CN"/>
        </w:rPr>
        <w:t>6.问：如何在新电子税局中开具税收完税证明？</w:t>
      </w:r>
      <w:bookmarkEnd w:id="421"/>
      <w:bookmarkEnd w:id="422"/>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b w:val="0"/>
          <w:bCs w:val="0"/>
          <w:sz w:val="32"/>
          <w:szCs w:val="32"/>
          <w:highlight w:val="none"/>
          <w:lang w:val="en-US" w:eastAsia="zh-CN"/>
        </w:rPr>
        <w:t>登录新电子税局，点击【我要办税】-【证明开具】-【开具税收完税证明】功能菜单。进入开具税收完税证明界面，纳税人可以根据自身情况选择开具完税证明（表格式）及完税证明（文书式）。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楷体_GB2312" w:hAnsi="楷体_GB2312" w:eastAsia="楷体_GB2312" w:cs="楷体_GB2312"/>
          <w:b w:val="0"/>
          <w:bCs w:val="0"/>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楷体_GB2312" w:hAnsi="楷体_GB2312" w:eastAsia="楷体_GB2312" w:cs="楷体_GB2312"/>
          <w:b w:val="0"/>
          <w:bCs w:val="0"/>
          <w:sz w:val="32"/>
          <w:szCs w:val="32"/>
          <w:highlight w:val="none"/>
          <w:lang w:val="en-US" w:eastAsia="zh-CN"/>
        </w:rPr>
      </w:pPr>
      <w:bookmarkStart w:id="423" w:name="_Toc28689"/>
      <w:bookmarkStart w:id="424" w:name="_Toc21571"/>
      <w:r>
        <w:rPr>
          <w:rFonts w:hint="eastAsia" w:ascii="楷体_GB2312" w:hAnsi="楷体_GB2312" w:eastAsia="楷体_GB2312" w:cs="楷体_GB2312"/>
          <w:b w:val="0"/>
          <w:bCs w:val="0"/>
          <w:sz w:val="32"/>
          <w:szCs w:val="32"/>
          <w:highlight w:val="none"/>
          <w:lang w:val="en-US" w:eastAsia="zh-CN"/>
        </w:rPr>
        <w:t>（四）撤资清算阶段</w:t>
      </w:r>
      <w:bookmarkEnd w:id="423"/>
      <w:bookmarkEnd w:id="424"/>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25" w:name="_Toc5065"/>
      <w:bookmarkStart w:id="426" w:name="_Toc17884"/>
      <w:r>
        <w:rPr>
          <w:rFonts w:hint="eastAsia" w:ascii="仿宋_GB2312" w:hAnsi="仿宋_GB2312" w:eastAsia="仿宋_GB2312" w:cs="仿宋_GB2312"/>
          <w:b/>
          <w:bCs/>
          <w:sz w:val="32"/>
          <w:szCs w:val="32"/>
          <w:highlight w:val="none"/>
          <w:lang w:val="en-US" w:eastAsia="zh-CN"/>
        </w:rPr>
        <w:t>1.问：外商投资企业的境外投资方（股东）发生变更，需要到税务局进行什么变更登记吗？</w:t>
      </w:r>
      <w:bookmarkEnd w:id="425"/>
      <w:bookmarkEnd w:id="426"/>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根据《税务登记管理办法》（国家税务总局7号令），外商投资企业税务登记内容中境外投资方发生变化的，应当向主管税务机关申请办理变更税务登记。其中个人股东转让股权的，应向税务机关办理完税后再办理变更；法人股东转让股权的，请先向市场监督管理部门办理变更后，再到税务机关办理相关涉税事宜。</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27" w:name="_Toc12380"/>
      <w:bookmarkStart w:id="428" w:name="_Toc23160"/>
      <w:r>
        <w:rPr>
          <w:rFonts w:hint="eastAsia" w:ascii="仿宋_GB2312" w:hAnsi="仿宋_GB2312" w:eastAsia="仿宋_GB2312" w:cs="仿宋_GB2312"/>
          <w:b/>
          <w:bCs/>
          <w:sz w:val="32"/>
          <w:szCs w:val="32"/>
          <w:highlight w:val="none"/>
          <w:lang w:val="en-US" w:eastAsia="zh-CN"/>
        </w:rPr>
        <w:t>2.问：外商投资企业如何办理企业注销税务登记？</w:t>
      </w:r>
      <w:bookmarkEnd w:id="427"/>
      <w:bookmarkEnd w:id="428"/>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根据《税务登记管理办法》（国家税务总局7号令），外商投资企业发生解散、破产、撤销以及其他情形，依法终止纳税义务的，应当在向工商行政管理机关或者其他机关办理注销登记前，持有关证件和资料向原税务登记机关申报办理注销税务登记。企业也可线上办理注销登记：登陆新电子税局，选择【清税申报（税务注销办理）】功能菜单，若符合即办注销条件，即可完成税务注销；若不符合即办注销条件，需办理未结事项后，提交注销申请，等待税务机关审批。</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outlineLvl w:val="2"/>
        <w:rPr>
          <w:rFonts w:hint="eastAsia" w:ascii="仿宋_GB2312" w:hAnsi="仿宋_GB2312" w:eastAsia="仿宋_GB2312" w:cs="仿宋_GB2312"/>
          <w:sz w:val="32"/>
          <w:szCs w:val="32"/>
          <w:highlight w:val="none"/>
          <w:lang w:val="en-US" w:eastAsia="zh-CN"/>
        </w:rPr>
      </w:pPr>
      <w:bookmarkStart w:id="429" w:name="_Toc18461"/>
      <w:bookmarkStart w:id="430" w:name="_Toc28017"/>
      <w:r>
        <w:rPr>
          <w:rFonts w:hint="eastAsia" w:ascii="仿宋_GB2312" w:hAnsi="仿宋_GB2312" w:eastAsia="仿宋_GB2312" w:cs="仿宋_GB2312"/>
          <w:b/>
          <w:bCs/>
          <w:sz w:val="32"/>
          <w:szCs w:val="32"/>
          <w:highlight w:val="none"/>
          <w:lang w:val="en-US" w:eastAsia="zh-CN"/>
        </w:rPr>
        <w:t>3.问：我公司是一家出口企业，现因经营不善需要注销税务登记，请问，是否需要办理出口退（免）税备案撤回？</w:t>
      </w:r>
      <w:bookmarkEnd w:id="429"/>
      <w:bookmarkEnd w:id="430"/>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答：</w:t>
      </w:r>
      <w:r>
        <w:rPr>
          <w:rFonts w:hint="eastAsia" w:ascii="仿宋_GB2312" w:hAnsi="仿宋_GB2312" w:eastAsia="仿宋_GB2312" w:cs="仿宋_GB2312"/>
          <w:sz w:val="32"/>
          <w:szCs w:val="32"/>
          <w:highlight w:val="none"/>
          <w:lang w:val="en-US" w:eastAsia="zh-CN"/>
        </w:rPr>
        <w:t>需要。根据《国家税务总局关于部分税务行政审批事项取消后有关管理问题的公告》(国家税务总局公告2015年第56号)第三条规定：出口企业或其他单位申请注销税务登记的，应先向主管税务机关申请撤回出口退(免)税备案。出口企业或其他单位撤回出口退(免)税备案的，主管税务机关应按规定结清退(免)税款后办理。</w:t>
      </w:r>
    </w:p>
    <w:p>
      <w:pPr>
        <w:rPr>
          <w:rFonts w:hint="default" w:ascii="楷体_GB2312" w:hAnsi="楷体_GB2312" w:eastAsia="楷体_GB2312" w:cs="楷体_GB2312"/>
          <w:color w:val="auto"/>
          <w:sz w:val="32"/>
          <w:szCs w:val="32"/>
          <w:highlight w:val="none"/>
          <w:lang w:val="en-US" w:eastAsia="zh-CN"/>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snapToGrid w:val="0"/>
        <w:rPr>
          <w:rFonts w:hint="eastAsia" w:eastAsia="宋体"/>
          <w:highlight w:val="none"/>
          <w:lang w:eastAsia="zh-CN"/>
        </w:rPr>
      </w:pPr>
      <w:r>
        <w:rPr>
          <w:rStyle w:val="23"/>
          <w:highlight w:val="none"/>
        </w:rPr>
        <w:footnoteRef/>
      </w:r>
      <w:r>
        <w:rPr>
          <w:highlight w:val="none"/>
        </w:rPr>
        <w:t xml:space="preserve"> </w:t>
      </w:r>
      <w:r>
        <w:rPr>
          <w:rFonts w:hint="eastAsia"/>
          <w:highlight w:val="none"/>
          <w:lang w:eastAsia="zh-CN"/>
        </w:rPr>
        <w:t>该政策同时适用于项目投资、项目建设、项目投产、撤资清算四个阶段。</w:t>
      </w:r>
    </w:p>
  </w:footnote>
  <w:footnote w:id="1">
    <w:p>
      <w:pPr>
        <w:pStyle w:val="14"/>
        <w:snapToGrid w:val="0"/>
        <w:rPr>
          <w:highlight w:val="none"/>
        </w:rPr>
      </w:pPr>
      <w:r>
        <w:rPr>
          <w:rStyle w:val="23"/>
          <w:highlight w:val="none"/>
        </w:rPr>
        <w:footnoteRef/>
      </w:r>
      <w:r>
        <w:rPr>
          <w:highlight w:val="none"/>
        </w:rPr>
        <w:t xml:space="preserve"> </w:t>
      </w:r>
      <w:r>
        <w:rPr>
          <w:rFonts w:hint="eastAsia"/>
          <w:highlight w:val="none"/>
          <w:lang w:eastAsia="zh-CN"/>
        </w:rPr>
        <w:t>该政策同时适用于项目投资、项目建设、项目投产、撤资清算四个阶段。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D5BB8"/>
    <w:multiLevelType w:val="singleLevel"/>
    <w:tmpl w:val="979D5BB8"/>
    <w:lvl w:ilvl="0" w:tentative="0">
      <w:start w:val="1"/>
      <w:numFmt w:val="decimalEnclosedCircleChinese"/>
      <w:suff w:val="nothing"/>
      <w:lvlText w:val="%1　"/>
      <w:lvlJc w:val="left"/>
      <w:pPr>
        <w:ind w:left="0" w:firstLine="400"/>
      </w:pPr>
      <w:rPr>
        <w:rFonts w:hint="eastAsia"/>
      </w:rPr>
    </w:lvl>
  </w:abstractNum>
  <w:abstractNum w:abstractNumId="1">
    <w:nsid w:val="C8958E05"/>
    <w:multiLevelType w:val="singleLevel"/>
    <w:tmpl w:val="C8958E05"/>
    <w:lvl w:ilvl="0" w:tentative="0">
      <w:start w:val="1"/>
      <w:numFmt w:val="bullet"/>
      <w:lvlText w:val=""/>
      <w:lvlJc w:val="left"/>
      <w:pPr>
        <w:ind w:left="420" w:hanging="420"/>
      </w:pPr>
      <w:rPr>
        <w:rFonts w:hint="default" w:ascii="Wingdings" w:hAnsi="Wingdings"/>
      </w:rPr>
    </w:lvl>
  </w:abstractNum>
  <w:abstractNum w:abstractNumId="2">
    <w:nsid w:val="13982BD8"/>
    <w:multiLevelType w:val="singleLevel"/>
    <w:tmpl w:val="13982BD8"/>
    <w:lvl w:ilvl="0" w:tentative="0">
      <w:start w:val="1"/>
      <w:numFmt w:val="decimalEnclosedCircleChinese"/>
      <w:suff w:val="nothing"/>
      <w:lvlText w:val="%1　"/>
      <w:lvlJc w:val="left"/>
      <w:pPr>
        <w:ind w:left="0" w:firstLine="400"/>
      </w:pPr>
      <w:rPr>
        <w:rFonts w:hint="eastAsia"/>
      </w:rPr>
    </w:lvl>
  </w:abstractNum>
  <w:abstractNum w:abstractNumId="3">
    <w:nsid w:val="22DD0A8D"/>
    <w:multiLevelType w:val="singleLevel"/>
    <w:tmpl w:val="22DD0A8D"/>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0A192E"/>
    <w:rsid w:val="004367FA"/>
    <w:rsid w:val="008B4481"/>
    <w:rsid w:val="008D02DC"/>
    <w:rsid w:val="00F80EFE"/>
    <w:rsid w:val="00FA3CD9"/>
    <w:rsid w:val="017323FE"/>
    <w:rsid w:val="01B03277"/>
    <w:rsid w:val="01BB1768"/>
    <w:rsid w:val="01D511F7"/>
    <w:rsid w:val="02A23673"/>
    <w:rsid w:val="039D04EE"/>
    <w:rsid w:val="03C1602D"/>
    <w:rsid w:val="03C7239E"/>
    <w:rsid w:val="03F31F10"/>
    <w:rsid w:val="03FB1013"/>
    <w:rsid w:val="058D3A69"/>
    <w:rsid w:val="05A30945"/>
    <w:rsid w:val="062F7A76"/>
    <w:rsid w:val="06636E62"/>
    <w:rsid w:val="06882045"/>
    <w:rsid w:val="06906D23"/>
    <w:rsid w:val="06E2376A"/>
    <w:rsid w:val="07456F8C"/>
    <w:rsid w:val="07C10C61"/>
    <w:rsid w:val="084D6B2D"/>
    <w:rsid w:val="0916415C"/>
    <w:rsid w:val="0ABB3171"/>
    <w:rsid w:val="0B8D32F4"/>
    <w:rsid w:val="0D5C609E"/>
    <w:rsid w:val="0ED30F95"/>
    <w:rsid w:val="0EE07CD0"/>
    <w:rsid w:val="0FF21C69"/>
    <w:rsid w:val="1003279A"/>
    <w:rsid w:val="10145C88"/>
    <w:rsid w:val="10F613F8"/>
    <w:rsid w:val="115052CB"/>
    <w:rsid w:val="11B704BF"/>
    <w:rsid w:val="11C625B7"/>
    <w:rsid w:val="11C778C6"/>
    <w:rsid w:val="11DD0D93"/>
    <w:rsid w:val="141B30AF"/>
    <w:rsid w:val="14415971"/>
    <w:rsid w:val="144856DF"/>
    <w:rsid w:val="14770D98"/>
    <w:rsid w:val="14A02B4E"/>
    <w:rsid w:val="15CF4A0A"/>
    <w:rsid w:val="16292BB5"/>
    <w:rsid w:val="17BF090F"/>
    <w:rsid w:val="184E3307"/>
    <w:rsid w:val="18622759"/>
    <w:rsid w:val="1ABC039A"/>
    <w:rsid w:val="1AFF7721"/>
    <w:rsid w:val="1B2702E7"/>
    <w:rsid w:val="1B4A077E"/>
    <w:rsid w:val="1C32528C"/>
    <w:rsid w:val="1C5955B1"/>
    <w:rsid w:val="1D835D6B"/>
    <w:rsid w:val="1DBF04EB"/>
    <w:rsid w:val="1E911E4A"/>
    <w:rsid w:val="1F046633"/>
    <w:rsid w:val="200F4CD9"/>
    <w:rsid w:val="2132740E"/>
    <w:rsid w:val="216B6DD2"/>
    <w:rsid w:val="22221F6C"/>
    <w:rsid w:val="22656072"/>
    <w:rsid w:val="2428783B"/>
    <w:rsid w:val="243A6C8C"/>
    <w:rsid w:val="24475554"/>
    <w:rsid w:val="24D86636"/>
    <w:rsid w:val="250649EE"/>
    <w:rsid w:val="26A12A01"/>
    <w:rsid w:val="26AD66BA"/>
    <w:rsid w:val="26F03EE0"/>
    <w:rsid w:val="28C7460D"/>
    <w:rsid w:val="29C429A6"/>
    <w:rsid w:val="2A3F7409"/>
    <w:rsid w:val="2ACA1550"/>
    <w:rsid w:val="2AD25915"/>
    <w:rsid w:val="2B027B9A"/>
    <w:rsid w:val="2D1D68E9"/>
    <w:rsid w:val="2DB212B3"/>
    <w:rsid w:val="2DE3096E"/>
    <w:rsid w:val="2E396C73"/>
    <w:rsid w:val="2EB40084"/>
    <w:rsid w:val="314B16FF"/>
    <w:rsid w:val="31E347C9"/>
    <w:rsid w:val="31ED77FF"/>
    <w:rsid w:val="32141D2D"/>
    <w:rsid w:val="326A6D73"/>
    <w:rsid w:val="32956503"/>
    <w:rsid w:val="32AE76ED"/>
    <w:rsid w:val="33484C11"/>
    <w:rsid w:val="334F5998"/>
    <w:rsid w:val="3451556A"/>
    <w:rsid w:val="349B5BC8"/>
    <w:rsid w:val="34D23F9E"/>
    <w:rsid w:val="36270477"/>
    <w:rsid w:val="366C2D7D"/>
    <w:rsid w:val="3695650E"/>
    <w:rsid w:val="36CC4F26"/>
    <w:rsid w:val="371A5D74"/>
    <w:rsid w:val="38340642"/>
    <w:rsid w:val="38A067D9"/>
    <w:rsid w:val="39235548"/>
    <w:rsid w:val="39A32359"/>
    <w:rsid w:val="39D64774"/>
    <w:rsid w:val="3A9C025C"/>
    <w:rsid w:val="3B791C0B"/>
    <w:rsid w:val="3BFE604B"/>
    <w:rsid w:val="3C3D07A8"/>
    <w:rsid w:val="3DAC737A"/>
    <w:rsid w:val="3E6238AB"/>
    <w:rsid w:val="40B145DB"/>
    <w:rsid w:val="41C74919"/>
    <w:rsid w:val="42565884"/>
    <w:rsid w:val="434960DA"/>
    <w:rsid w:val="447B09A2"/>
    <w:rsid w:val="45445761"/>
    <w:rsid w:val="464A19CD"/>
    <w:rsid w:val="46B966A5"/>
    <w:rsid w:val="46C55BF4"/>
    <w:rsid w:val="46D8309D"/>
    <w:rsid w:val="47132C65"/>
    <w:rsid w:val="48E64596"/>
    <w:rsid w:val="496F6F81"/>
    <w:rsid w:val="4ABF497F"/>
    <w:rsid w:val="4AE0723C"/>
    <w:rsid w:val="4B99135A"/>
    <w:rsid w:val="4DAA2648"/>
    <w:rsid w:val="4E430265"/>
    <w:rsid w:val="4F0613EB"/>
    <w:rsid w:val="4F0A192E"/>
    <w:rsid w:val="5084405E"/>
    <w:rsid w:val="50A51668"/>
    <w:rsid w:val="50F471DE"/>
    <w:rsid w:val="517A7E84"/>
    <w:rsid w:val="52954C7C"/>
    <w:rsid w:val="532F1CA7"/>
    <w:rsid w:val="53797D92"/>
    <w:rsid w:val="54FF2421"/>
    <w:rsid w:val="560A4A1D"/>
    <w:rsid w:val="57354BF1"/>
    <w:rsid w:val="57714D5F"/>
    <w:rsid w:val="58555642"/>
    <w:rsid w:val="594B46D8"/>
    <w:rsid w:val="59B10F19"/>
    <w:rsid w:val="59C94F7A"/>
    <w:rsid w:val="5B247844"/>
    <w:rsid w:val="5B4E4150"/>
    <w:rsid w:val="5B6E14C7"/>
    <w:rsid w:val="5B813E93"/>
    <w:rsid w:val="5C1C2BF0"/>
    <w:rsid w:val="5C4E18E5"/>
    <w:rsid w:val="5C75007F"/>
    <w:rsid w:val="5FB213CD"/>
    <w:rsid w:val="5FBA3679"/>
    <w:rsid w:val="60DB6A3A"/>
    <w:rsid w:val="60DD634D"/>
    <w:rsid w:val="610E5570"/>
    <w:rsid w:val="61EA5052"/>
    <w:rsid w:val="621C3A42"/>
    <w:rsid w:val="633A4A80"/>
    <w:rsid w:val="634C1382"/>
    <w:rsid w:val="6413204D"/>
    <w:rsid w:val="645D0014"/>
    <w:rsid w:val="650D112B"/>
    <w:rsid w:val="658F01B0"/>
    <w:rsid w:val="668A3BE5"/>
    <w:rsid w:val="66A97C34"/>
    <w:rsid w:val="66BF0D0D"/>
    <w:rsid w:val="66F53529"/>
    <w:rsid w:val="670D5FBF"/>
    <w:rsid w:val="671F1776"/>
    <w:rsid w:val="697458D2"/>
    <w:rsid w:val="697535A2"/>
    <w:rsid w:val="69AB2D6B"/>
    <w:rsid w:val="6ABF56BF"/>
    <w:rsid w:val="6BB63984"/>
    <w:rsid w:val="6BB9232A"/>
    <w:rsid w:val="6C3F6CA3"/>
    <w:rsid w:val="6C8D1627"/>
    <w:rsid w:val="6C9C2EC9"/>
    <w:rsid w:val="6CB206A5"/>
    <w:rsid w:val="6CCC3C4E"/>
    <w:rsid w:val="6CF70D66"/>
    <w:rsid w:val="6D1C2AD2"/>
    <w:rsid w:val="6DCF5662"/>
    <w:rsid w:val="6F356DAF"/>
    <w:rsid w:val="6F6273A1"/>
    <w:rsid w:val="701A27A3"/>
    <w:rsid w:val="703C713D"/>
    <w:rsid w:val="70FC33BD"/>
    <w:rsid w:val="717C143E"/>
    <w:rsid w:val="73155B79"/>
    <w:rsid w:val="73751C70"/>
    <w:rsid w:val="74225BE7"/>
    <w:rsid w:val="74B0071D"/>
    <w:rsid w:val="766F1C10"/>
    <w:rsid w:val="7677475F"/>
    <w:rsid w:val="773718BE"/>
    <w:rsid w:val="777763EE"/>
    <w:rsid w:val="77B54E16"/>
    <w:rsid w:val="7898596B"/>
    <w:rsid w:val="78D70D8D"/>
    <w:rsid w:val="7A953B66"/>
    <w:rsid w:val="7AEEDB04"/>
    <w:rsid w:val="7CAA4FA1"/>
    <w:rsid w:val="7CAC453B"/>
    <w:rsid w:val="7CDB1C07"/>
    <w:rsid w:val="7D1D4701"/>
    <w:rsid w:val="7D2006EC"/>
    <w:rsid w:val="7DFDA0C3"/>
    <w:rsid w:val="BACF9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qFormat/>
    <w:uiPriority w:val="0"/>
    <w:pPr>
      <w:ind w:firstLine="640"/>
      <w:outlineLvl w:val="4"/>
    </w:pPr>
    <w:rPr>
      <w:szCs w:val="32"/>
    </w:rPr>
  </w:style>
  <w:style w:type="character" w:default="1" w:styleId="19">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link w:val="27"/>
    <w:qFormat/>
    <w:uiPriority w:val="0"/>
    <w:pPr>
      <w:spacing w:after="120" w:afterLines="0" w:afterAutospacing="0"/>
      <w:ind w:left="420" w:leftChars="200"/>
    </w:p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footnote text"/>
    <w:basedOn w:val="1"/>
    <w:qFormat/>
    <w:uiPriority w:val="0"/>
    <w:pPr>
      <w:snapToGrid w:val="0"/>
      <w:jc w:val="left"/>
    </w:pPr>
    <w:rPr>
      <w:sz w:val="18"/>
      <w:szCs w:val="18"/>
    </w:rPr>
  </w:style>
  <w:style w:type="paragraph" w:styleId="15">
    <w:name w:val="toc 2"/>
    <w:basedOn w:val="1"/>
    <w:next w:val="1"/>
    <w:qFormat/>
    <w:uiPriority w:val="0"/>
    <w:pPr>
      <w:ind w:left="420" w:leftChars="200"/>
    </w:pPr>
  </w:style>
  <w:style w:type="paragraph" w:styleId="16">
    <w:name w:val="Normal (Web)"/>
    <w:basedOn w:val="1"/>
    <w:qFormat/>
    <w:uiPriority w:val="0"/>
    <w:pPr>
      <w:widowControl/>
      <w:jc w:val="left"/>
    </w:pPr>
    <w:rPr>
      <w:rFonts w:hint="eastAsia" w:ascii="宋体" w:hAnsi="宋体" w:eastAsia="宋体" w:cs="Times New Roman"/>
      <w:kern w:val="0"/>
      <w:sz w:val="24"/>
    </w:rPr>
  </w:style>
  <w:style w:type="paragraph" w:styleId="17">
    <w:name w:val="Body Text First Indent 2"/>
    <w:basedOn w:val="7"/>
    <w:link w:val="28"/>
    <w:qFormat/>
    <w:uiPriority w:val="0"/>
    <w:pPr>
      <w:ind w:firstLine="420" w:firstLineChars="200"/>
    </w:pPr>
  </w:style>
  <w:style w:type="character" w:styleId="20">
    <w:name w:val="Strong"/>
    <w:basedOn w:val="19"/>
    <w:qFormat/>
    <w:uiPriority w:val="0"/>
    <w:rPr>
      <w:b/>
    </w:rPr>
  </w:style>
  <w:style w:type="character" w:styleId="21">
    <w:name w:val="FollowedHyperlink"/>
    <w:basedOn w:val="19"/>
    <w:qFormat/>
    <w:uiPriority w:val="0"/>
    <w:rPr>
      <w:color w:val="333333"/>
      <w:u w:val="none"/>
    </w:rPr>
  </w:style>
  <w:style w:type="character" w:styleId="22">
    <w:name w:val="Hyperlink"/>
    <w:basedOn w:val="19"/>
    <w:qFormat/>
    <w:uiPriority w:val="0"/>
    <w:rPr>
      <w:color w:val="0000FF"/>
      <w:u w:val="single"/>
    </w:rPr>
  </w:style>
  <w:style w:type="character" w:styleId="23">
    <w:name w:val="footnote reference"/>
    <w:basedOn w:val="19"/>
    <w:qFormat/>
    <w:uiPriority w:val="0"/>
    <w:rPr>
      <w:vertAlign w:val="superscript"/>
    </w:rPr>
  </w:style>
  <w:style w:type="paragraph" w:customStyle="1" w:styleId="24">
    <w:name w:val="Table Text"/>
    <w:basedOn w:val="1"/>
    <w:semiHidden/>
    <w:qFormat/>
    <w:uiPriority w:val="0"/>
    <w:rPr>
      <w:rFonts w:ascii="Arial" w:hAnsi="Arial" w:eastAsia="Arial" w:cs="Arial"/>
      <w:sz w:val="21"/>
      <w:szCs w:val="21"/>
      <w:lang w:val="en-US" w:eastAsia="en-US" w:bidi="ar-SA"/>
    </w:rPr>
  </w:style>
  <w:style w:type="paragraph" w:customStyle="1" w:styleId="25">
    <w:name w:val="其他"/>
    <w:basedOn w:val="1"/>
    <w:link w:val="26"/>
    <w:unhideWhenUsed/>
    <w:qFormat/>
    <w:uiPriority w:val="0"/>
    <w:pPr>
      <w:spacing w:beforeLines="0" w:afterLines="0" w:line="296" w:lineRule="exact"/>
      <w:jc w:val="center"/>
    </w:pPr>
    <w:rPr>
      <w:rFonts w:hint="eastAsia" w:ascii="黑体" w:hAnsi="黑体" w:eastAsia="黑体" w:cs="黑体"/>
      <w:sz w:val="26"/>
      <w:szCs w:val="26"/>
      <w:lang w:val="zh-CN" w:eastAsia="zh-CN" w:bidi="zh-CN"/>
    </w:rPr>
  </w:style>
  <w:style w:type="character" w:customStyle="1" w:styleId="26">
    <w:name w:val="其他_"/>
    <w:basedOn w:val="19"/>
    <w:link w:val="25"/>
    <w:unhideWhenUsed/>
    <w:qFormat/>
    <w:uiPriority w:val="0"/>
    <w:rPr>
      <w:rFonts w:hint="eastAsia" w:ascii="黑体" w:hAnsi="黑体" w:eastAsia="黑体" w:cs="黑体"/>
      <w:sz w:val="26"/>
      <w:szCs w:val="26"/>
      <w:lang w:val="zh-CN" w:eastAsia="zh-CN" w:bidi="zh-CN"/>
    </w:rPr>
  </w:style>
  <w:style w:type="character" w:customStyle="1" w:styleId="27">
    <w:name w:val="正文文本缩进 Char"/>
    <w:basedOn w:val="19"/>
    <w:link w:val="7"/>
    <w:qFormat/>
    <w:uiPriority w:val="0"/>
    <w:rPr>
      <w:rFonts w:hint="default" w:ascii="Calibri" w:hAnsi="Calibri" w:cs="Calibri"/>
      <w:kern w:val="2"/>
      <w:sz w:val="21"/>
      <w:szCs w:val="24"/>
    </w:rPr>
  </w:style>
  <w:style w:type="character" w:customStyle="1" w:styleId="28">
    <w:name w:val="正文首行缩进 2 Char"/>
    <w:basedOn w:val="27"/>
    <w:link w:val="17"/>
    <w:qFormat/>
    <w:uiPriority w:val="0"/>
    <w:rPr>
      <w:rFonts w:hint="default" w:ascii="Calibri" w:hAnsi="Calibri" w:cs="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10890</Words>
  <Characters>11364</Characters>
  <Lines>0</Lines>
  <Paragraphs>0</Paragraphs>
  <TotalTime>11</TotalTime>
  <ScaleCrop>false</ScaleCrop>
  <LinksUpToDate>false</LinksUpToDate>
  <CharactersWithSpaces>11600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2025-02-18T20:39:00Z</dcterms:created>
  <dc:creator>蒋梦怡</dc:creator>
  <cp:lastModifiedBy>姜骁妍</cp:lastModifiedBy>
  <cp:lastPrinted>2025-02-26T23:42:00Z</cp:lastPrinted>
  <dcterms:modified xsi:type="dcterms:W3CDTF">2025-12-02T01:41:53Z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KSOTemplateDocerSaveRecord">
    <vt:lpwstr>eyJoZGlkIjoiYjY2ODQ2YmQ0MWIyZjMyMTAwMDk3NDk0MjU1MDNjMWUiLCJ1c2VySWQiOiIzOTUyODA2NTAifQ==</vt:lpwstr>
  </property>
  <property fmtid="{D5CDD505-2E9C-101B-9397-08002B2CF9AE}" pid="4" name="ICV">
    <vt:lpwstr>B425159577154C64B148FBE154B97120_13</vt:lpwstr>
  </property>
</Properties>
</file>