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rPr>
          <w:rFonts w:asciiTheme="minorEastAsia" w:hAnsiTheme="minorEastAsia" w:eastAsiaTheme="minorEastAsia"/>
        </w:rPr>
      </w:pPr>
      <w:r>
        <w:rPr>
          <w:rFonts w:hint="eastAsia" w:asciiTheme="minorEastAsia" w:hAnsiTheme="minorEastAsia" w:eastAsiaTheme="minorEastAsia"/>
        </w:rPr>
        <w:t>附件</w:t>
      </w:r>
    </w:p>
    <w:p>
      <w:pPr>
        <w:pStyle w:val="12"/>
        <w:rPr>
          <w:rFonts w:asciiTheme="minorEastAsia" w:hAnsiTheme="minorEastAsia" w:eastAsiaTheme="minorEastAsia"/>
        </w:rPr>
      </w:pPr>
      <w:r>
        <w:rPr>
          <w:rFonts w:hint="eastAsia" w:asciiTheme="minorEastAsia" w:hAnsiTheme="minorEastAsia" w:eastAsiaTheme="minorEastAsia"/>
        </w:rPr>
        <w:t>制造业设计能力提升专项行动计划（</w:t>
      </w:r>
      <w:r>
        <w:rPr>
          <w:rFonts w:asciiTheme="minorEastAsia" w:hAnsiTheme="minorEastAsia" w:eastAsiaTheme="minorEastAsia"/>
        </w:rPr>
        <w:t>2019-2022</w:t>
      </w:r>
      <w:r>
        <w:rPr>
          <w:rFonts w:hint="eastAsia" w:asciiTheme="minorEastAsia" w:hAnsiTheme="minorEastAsia" w:eastAsiaTheme="minorEastAsia"/>
        </w:rPr>
        <w:t>年）任务分工表</w:t>
      </w:r>
    </w:p>
    <w:tbl>
      <w:tblPr>
        <w:tblStyle w:val="4"/>
        <w:tblW w:w="0" w:type="auto"/>
        <w:tblInd w:w="28" w:type="dxa"/>
        <w:tblLayout w:type="fixed"/>
        <w:tblCellMar>
          <w:top w:w="0" w:type="dxa"/>
          <w:left w:w="0" w:type="dxa"/>
          <w:bottom w:w="0" w:type="dxa"/>
          <w:right w:w="0" w:type="dxa"/>
        </w:tblCellMar>
      </w:tblPr>
      <w:tblGrid>
        <w:gridCol w:w="2189"/>
        <w:gridCol w:w="7687"/>
        <w:gridCol w:w="3691"/>
      </w:tblGrid>
      <w:tr>
        <w:tblPrEx>
          <w:tblCellMar>
            <w:top w:w="0" w:type="dxa"/>
            <w:left w:w="0" w:type="dxa"/>
            <w:bottom w:w="0" w:type="dxa"/>
            <w:right w:w="0" w:type="dxa"/>
          </w:tblCellMar>
        </w:tblPrEx>
        <w:trPr>
          <w:trHeight w:val="471" w:hRule="atLeast"/>
          <w:tblHeader/>
        </w:trPr>
        <w:tc>
          <w:tcPr>
            <w:tcW w:w="2189" w:type="dxa"/>
            <w:tcBorders>
              <w:top w:val="single" w:color="000000" w:sz="4" w:space="0"/>
              <w:left w:val="single" w:color="000000" w:sz="4" w:space="0"/>
              <w:bottom w:val="single" w:color="000000" w:sz="2" w:space="0"/>
              <w:right w:val="single" w:color="000000" w:sz="2" w:space="0"/>
            </w:tcBorders>
            <w:tcMar>
              <w:top w:w="28" w:type="dxa"/>
              <w:left w:w="28" w:type="dxa"/>
              <w:bottom w:w="28" w:type="dxa"/>
              <w:right w:w="28" w:type="dxa"/>
            </w:tcMar>
            <w:vAlign w:val="center"/>
          </w:tcPr>
          <w:p>
            <w:pPr>
              <w:pStyle w:val="29"/>
              <w:rPr>
                <w:rFonts w:asciiTheme="minorEastAsia" w:hAnsiTheme="minorEastAsia" w:eastAsiaTheme="minorEastAsia"/>
              </w:rPr>
            </w:pPr>
            <w:r>
              <w:rPr>
                <w:rFonts w:hint="eastAsia" w:asciiTheme="minorEastAsia" w:hAnsiTheme="minorEastAsia" w:eastAsiaTheme="minorEastAsia"/>
              </w:rPr>
              <w:t>重点任务</w:t>
            </w:r>
          </w:p>
        </w:tc>
        <w:tc>
          <w:tcPr>
            <w:tcW w:w="7687" w:type="dxa"/>
            <w:tcBorders>
              <w:top w:val="single" w:color="000000" w:sz="4"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29"/>
              <w:rPr>
                <w:rFonts w:asciiTheme="minorEastAsia" w:hAnsiTheme="minorEastAsia" w:eastAsiaTheme="minorEastAsia"/>
              </w:rPr>
            </w:pPr>
            <w:r>
              <w:rPr>
                <w:rFonts w:hint="eastAsia" w:asciiTheme="minorEastAsia" w:hAnsiTheme="minorEastAsia" w:eastAsiaTheme="minorEastAsia"/>
              </w:rPr>
              <w:t>任务内容</w:t>
            </w:r>
          </w:p>
        </w:tc>
        <w:tc>
          <w:tcPr>
            <w:tcW w:w="3691" w:type="dxa"/>
            <w:tcBorders>
              <w:top w:val="single" w:color="000000" w:sz="4" w:space="0"/>
              <w:left w:val="single" w:color="000000" w:sz="2" w:space="0"/>
              <w:bottom w:val="single" w:color="000000" w:sz="2" w:space="0"/>
              <w:right w:val="single" w:color="000000" w:sz="4" w:space="0"/>
            </w:tcBorders>
            <w:tcMar>
              <w:top w:w="28" w:type="dxa"/>
              <w:left w:w="28" w:type="dxa"/>
              <w:bottom w:w="28" w:type="dxa"/>
              <w:right w:w="28" w:type="dxa"/>
            </w:tcMar>
            <w:vAlign w:val="center"/>
          </w:tcPr>
          <w:p>
            <w:pPr>
              <w:pStyle w:val="29"/>
              <w:rPr>
                <w:rFonts w:asciiTheme="minorEastAsia" w:hAnsiTheme="minorEastAsia" w:eastAsiaTheme="minorEastAsia"/>
              </w:rPr>
            </w:pPr>
            <w:r>
              <w:rPr>
                <w:rFonts w:hint="eastAsia" w:asciiTheme="minorEastAsia" w:hAnsiTheme="minorEastAsia" w:eastAsiaTheme="minorEastAsia"/>
              </w:rPr>
              <w:t>责任部门</w:t>
            </w:r>
          </w:p>
        </w:tc>
      </w:tr>
      <w:tr>
        <w:tblPrEx>
          <w:tblCellMar>
            <w:top w:w="0" w:type="dxa"/>
            <w:left w:w="0" w:type="dxa"/>
            <w:bottom w:w="0" w:type="dxa"/>
            <w:right w:w="0" w:type="dxa"/>
          </w:tblCellMar>
        </w:tblPrEx>
        <w:trPr>
          <w:trHeight w:val="854" w:hRule="atLeast"/>
        </w:trPr>
        <w:tc>
          <w:tcPr>
            <w:tcW w:w="2189" w:type="dxa"/>
            <w:vMerge w:val="restart"/>
            <w:tcBorders>
              <w:top w:val="single" w:color="000000" w:sz="2" w:space="0"/>
              <w:left w:val="single" w:color="000000" w:sz="4" w:space="0"/>
              <w:bottom w:val="single" w:color="000000" w:sz="2" w:space="0"/>
              <w:right w:val="single" w:color="000000" w:sz="2" w:space="0"/>
            </w:tcBorders>
            <w:tcMar>
              <w:top w:w="28" w:type="dxa"/>
              <w:left w:w="28" w:type="dxa"/>
              <w:bottom w:w="28" w:type="dxa"/>
              <w:right w:w="28" w:type="dxa"/>
            </w:tcMar>
            <w:vAlign w:val="center"/>
          </w:tcPr>
          <w:p>
            <w:pPr>
              <w:pStyle w:val="7"/>
              <w:jc w:val="left"/>
              <w:rPr>
                <w:rFonts w:asciiTheme="minorEastAsia" w:hAnsiTheme="minorEastAsia" w:eastAsiaTheme="minorEastAsia"/>
              </w:rPr>
            </w:pPr>
            <w:r>
              <w:rPr>
                <w:rFonts w:hint="eastAsia" w:asciiTheme="minorEastAsia" w:hAnsiTheme="minorEastAsia" w:eastAsiaTheme="minorEastAsia"/>
              </w:rPr>
              <w:t>夯实制造业设计基础</w:t>
            </w:r>
          </w:p>
        </w:tc>
        <w:tc>
          <w:tcPr>
            <w:tcW w:w="7687"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7"/>
              <w:jc w:val="both"/>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加大对设计创新项目和工业设计软件基础研究的支持力度。鼓励社会团体、产业联盟、高校院所和企业基于设计创新和专利制定团体标准、企业标准，积极参与制定国家标准和国际标准。</w:t>
            </w:r>
          </w:p>
        </w:tc>
        <w:tc>
          <w:tcPr>
            <w:tcW w:w="3691" w:type="dxa"/>
            <w:tcBorders>
              <w:top w:val="single" w:color="000000" w:sz="2" w:space="0"/>
              <w:left w:val="single" w:color="000000" w:sz="2" w:space="0"/>
              <w:bottom w:val="single" w:color="000000" w:sz="2" w:space="0"/>
              <w:right w:val="single" w:color="000000" w:sz="4" w:space="0"/>
            </w:tcBorders>
            <w:tcMar>
              <w:top w:w="28" w:type="dxa"/>
              <w:left w:w="28" w:type="dxa"/>
              <w:bottom w:w="28" w:type="dxa"/>
              <w:right w:w="28" w:type="dxa"/>
            </w:tcMar>
            <w:vAlign w:val="center"/>
          </w:tcPr>
          <w:p>
            <w:pPr>
              <w:pStyle w:val="7"/>
              <w:jc w:val="both"/>
              <w:rPr>
                <w:rFonts w:asciiTheme="minorEastAsia" w:hAnsiTheme="minorEastAsia" w:eastAsiaTheme="minorEastAsia"/>
              </w:rPr>
            </w:pPr>
            <w:r>
              <w:rPr>
                <w:rFonts w:hint="eastAsia" w:asciiTheme="minorEastAsia" w:hAnsiTheme="minorEastAsia" w:eastAsiaTheme="minorEastAsia"/>
              </w:rPr>
              <w:t>工业和信息化部、市场监管总局按照职责分工负责</w:t>
            </w:r>
          </w:p>
        </w:tc>
      </w:tr>
      <w:tr>
        <w:tblPrEx>
          <w:tblCellMar>
            <w:top w:w="0" w:type="dxa"/>
            <w:left w:w="0" w:type="dxa"/>
            <w:bottom w:w="0" w:type="dxa"/>
            <w:right w:w="0" w:type="dxa"/>
          </w:tblCellMar>
        </w:tblPrEx>
        <w:trPr>
          <w:trHeight w:val="707" w:hRule="atLeast"/>
        </w:trPr>
        <w:tc>
          <w:tcPr>
            <w:tcW w:w="2189" w:type="dxa"/>
            <w:vMerge w:val="continue"/>
            <w:tcBorders>
              <w:top w:val="single" w:color="000000" w:sz="2" w:space="0"/>
              <w:left w:val="single" w:color="000000" w:sz="4" w:space="0"/>
              <w:bottom w:val="single" w:color="000000" w:sz="2" w:space="0"/>
              <w:right w:val="single" w:color="000000" w:sz="2" w:space="0"/>
            </w:tcBorders>
          </w:tcPr>
          <w:p>
            <w:pPr>
              <w:pStyle w:val="10"/>
              <w:spacing w:line="240" w:lineRule="auto"/>
              <w:jc w:val="left"/>
              <w:textAlignment w:val="auto"/>
              <w:rPr>
                <w:rFonts w:asciiTheme="minorEastAsia" w:hAnsiTheme="minorEastAsia" w:eastAsiaTheme="minorEastAsia" w:cstheme="minorBidi"/>
                <w:color w:val="auto"/>
                <w:lang w:val="en-US"/>
              </w:rPr>
            </w:pPr>
          </w:p>
        </w:tc>
        <w:tc>
          <w:tcPr>
            <w:tcW w:w="7687"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7"/>
              <w:jc w:val="both"/>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在相关重大项目建设中加大对关键设计软件的支持力度。支持第三方机构开展设计数据、模型和接口标准制修订工作，推广工业</w:t>
            </w:r>
            <w:r>
              <w:rPr>
                <w:rFonts w:asciiTheme="minorEastAsia" w:hAnsiTheme="minorEastAsia" w:eastAsiaTheme="minorEastAsia"/>
              </w:rPr>
              <w:t>APP</w:t>
            </w:r>
            <w:r>
              <w:rPr>
                <w:rFonts w:hint="eastAsia" w:asciiTheme="minorEastAsia" w:hAnsiTheme="minorEastAsia" w:eastAsiaTheme="minorEastAsia"/>
              </w:rPr>
              <w:t>应用。</w:t>
            </w:r>
          </w:p>
        </w:tc>
        <w:tc>
          <w:tcPr>
            <w:tcW w:w="3691" w:type="dxa"/>
            <w:tcBorders>
              <w:top w:val="single" w:color="000000" w:sz="2" w:space="0"/>
              <w:left w:val="single" w:color="000000" w:sz="2" w:space="0"/>
              <w:bottom w:val="single" w:color="000000" w:sz="2" w:space="0"/>
              <w:right w:val="single" w:color="000000" w:sz="4" w:space="0"/>
            </w:tcBorders>
            <w:tcMar>
              <w:top w:w="28" w:type="dxa"/>
              <w:left w:w="28" w:type="dxa"/>
              <w:bottom w:w="28" w:type="dxa"/>
              <w:right w:w="28" w:type="dxa"/>
            </w:tcMar>
            <w:vAlign w:val="center"/>
          </w:tcPr>
          <w:p>
            <w:pPr>
              <w:pStyle w:val="7"/>
              <w:jc w:val="both"/>
              <w:rPr>
                <w:rFonts w:asciiTheme="minorEastAsia" w:hAnsiTheme="minorEastAsia" w:eastAsiaTheme="minorEastAsia"/>
              </w:rPr>
            </w:pPr>
            <w:r>
              <w:rPr>
                <w:rFonts w:hint="eastAsia" w:asciiTheme="minorEastAsia" w:hAnsiTheme="minorEastAsia" w:eastAsiaTheme="minorEastAsia"/>
              </w:rPr>
              <w:t>工业和信息化部负责</w:t>
            </w:r>
          </w:p>
        </w:tc>
      </w:tr>
      <w:tr>
        <w:tblPrEx>
          <w:tblCellMar>
            <w:top w:w="0" w:type="dxa"/>
            <w:left w:w="0" w:type="dxa"/>
            <w:bottom w:w="0" w:type="dxa"/>
            <w:right w:w="0" w:type="dxa"/>
          </w:tblCellMar>
        </w:tblPrEx>
        <w:trPr>
          <w:trHeight w:val="707" w:hRule="atLeast"/>
        </w:trPr>
        <w:tc>
          <w:tcPr>
            <w:tcW w:w="2189" w:type="dxa"/>
            <w:vMerge w:val="continue"/>
            <w:tcBorders>
              <w:top w:val="single" w:color="000000" w:sz="2" w:space="0"/>
              <w:left w:val="single" w:color="000000" w:sz="4" w:space="0"/>
              <w:bottom w:val="single" w:color="000000" w:sz="2" w:space="0"/>
              <w:right w:val="single" w:color="000000" w:sz="2" w:space="0"/>
            </w:tcBorders>
          </w:tcPr>
          <w:p>
            <w:pPr>
              <w:pStyle w:val="10"/>
              <w:spacing w:line="240" w:lineRule="auto"/>
              <w:jc w:val="left"/>
              <w:textAlignment w:val="auto"/>
              <w:rPr>
                <w:rFonts w:asciiTheme="minorEastAsia" w:hAnsiTheme="minorEastAsia" w:eastAsiaTheme="minorEastAsia" w:cstheme="minorBidi"/>
                <w:color w:val="auto"/>
                <w:lang w:val="en-US"/>
              </w:rPr>
            </w:pPr>
          </w:p>
        </w:tc>
        <w:tc>
          <w:tcPr>
            <w:tcW w:w="7687"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7"/>
              <w:jc w:val="both"/>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推动工业软件建模引擎发展，促进特殊行业和领域的专用设计及仿真软件应用。引导校企深化合作，建设设计类实验室，鼓励开展企业实践并计算学分。</w:t>
            </w:r>
          </w:p>
        </w:tc>
        <w:tc>
          <w:tcPr>
            <w:tcW w:w="3691" w:type="dxa"/>
            <w:tcBorders>
              <w:top w:val="single" w:color="000000" w:sz="2" w:space="0"/>
              <w:left w:val="single" w:color="000000" w:sz="2" w:space="0"/>
              <w:bottom w:val="single" w:color="000000" w:sz="2" w:space="0"/>
              <w:right w:val="single" w:color="000000" w:sz="4" w:space="0"/>
            </w:tcBorders>
            <w:tcMar>
              <w:top w:w="28" w:type="dxa"/>
              <w:left w:w="28" w:type="dxa"/>
              <w:bottom w:w="28" w:type="dxa"/>
              <w:right w:w="28" w:type="dxa"/>
            </w:tcMar>
            <w:vAlign w:val="center"/>
          </w:tcPr>
          <w:p>
            <w:pPr>
              <w:pStyle w:val="7"/>
              <w:jc w:val="both"/>
              <w:rPr>
                <w:rFonts w:asciiTheme="minorEastAsia" w:hAnsiTheme="minorEastAsia" w:eastAsiaTheme="minorEastAsia"/>
              </w:rPr>
            </w:pPr>
            <w:r>
              <w:rPr>
                <w:rFonts w:hint="eastAsia" w:asciiTheme="minorEastAsia" w:hAnsiTheme="minorEastAsia" w:eastAsiaTheme="minorEastAsia"/>
              </w:rPr>
              <w:t>发展改革委、教育部、工业和信息化部按照职责分工负责</w:t>
            </w:r>
          </w:p>
        </w:tc>
      </w:tr>
      <w:tr>
        <w:tblPrEx>
          <w:tblCellMar>
            <w:top w:w="0" w:type="dxa"/>
            <w:left w:w="0" w:type="dxa"/>
            <w:bottom w:w="0" w:type="dxa"/>
            <w:right w:w="0" w:type="dxa"/>
          </w:tblCellMar>
        </w:tblPrEx>
        <w:trPr>
          <w:trHeight w:val="853" w:hRule="atLeast"/>
        </w:trPr>
        <w:tc>
          <w:tcPr>
            <w:tcW w:w="2189" w:type="dxa"/>
            <w:vMerge w:val="continue"/>
            <w:tcBorders>
              <w:top w:val="single" w:color="000000" w:sz="2" w:space="0"/>
              <w:left w:val="single" w:color="000000" w:sz="4" w:space="0"/>
              <w:bottom w:val="single" w:color="000000" w:sz="2" w:space="0"/>
              <w:right w:val="single" w:color="000000" w:sz="2" w:space="0"/>
            </w:tcBorders>
          </w:tcPr>
          <w:p>
            <w:pPr>
              <w:pStyle w:val="10"/>
              <w:spacing w:line="240" w:lineRule="auto"/>
              <w:jc w:val="left"/>
              <w:textAlignment w:val="auto"/>
              <w:rPr>
                <w:rFonts w:asciiTheme="minorEastAsia" w:hAnsiTheme="minorEastAsia" w:eastAsiaTheme="minorEastAsia" w:cstheme="minorBidi"/>
                <w:color w:val="auto"/>
                <w:lang w:val="en-US"/>
              </w:rPr>
            </w:pPr>
          </w:p>
        </w:tc>
        <w:tc>
          <w:tcPr>
            <w:tcW w:w="7687"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7"/>
              <w:jc w:val="both"/>
              <w:rPr>
                <w:rFonts w:asciiTheme="minorEastAsia" w:hAnsiTheme="minorEastAsia" w:eastAsiaTheme="minorEastAsia"/>
              </w:rPr>
            </w:pPr>
            <w:r>
              <w:rPr>
                <w:rFonts w:asciiTheme="minorEastAsia" w:hAnsiTheme="minorEastAsia" w:eastAsiaTheme="minorEastAsia"/>
              </w:rPr>
              <w:t>4.</w:t>
            </w:r>
            <w:r>
              <w:rPr>
                <w:rFonts w:hint="eastAsia" w:asciiTheme="minorEastAsia" w:hAnsiTheme="minorEastAsia" w:eastAsiaTheme="minorEastAsia"/>
              </w:rPr>
              <w:t>鼓励将工业软件相关知识产权与论文、专利等同等纳入人才评定标准。引导设计软件企业结合具体应用，丰富基础零部件代码库、通用组件库及知识模型库，带动知识库跨行业复用。</w:t>
            </w:r>
          </w:p>
        </w:tc>
        <w:tc>
          <w:tcPr>
            <w:tcW w:w="3691" w:type="dxa"/>
            <w:tcBorders>
              <w:top w:val="single" w:color="000000" w:sz="2" w:space="0"/>
              <w:left w:val="single" w:color="000000" w:sz="2" w:space="0"/>
              <w:bottom w:val="single" w:color="000000" w:sz="2" w:space="0"/>
              <w:right w:val="single" w:color="000000" w:sz="4" w:space="0"/>
            </w:tcBorders>
            <w:tcMar>
              <w:top w:w="28" w:type="dxa"/>
              <w:left w:w="28" w:type="dxa"/>
              <w:bottom w:w="28" w:type="dxa"/>
              <w:right w:w="28" w:type="dxa"/>
            </w:tcMar>
            <w:vAlign w:val="center"/>
          </w:tcPr>
          <w:p>
            <w:pPr>
              <w:pStyle w:val="7"/>
              <w:jc w:val="both"/>
              <w:rPr>
                <w:rFonts w:asciiTheme="minorEastAsia" w:hAnsiTheme="minorEastAsia" w:eastAsiaTheme="minorEastAsia"/>
              </w:rPr>
            </w:pPr>
            <w:r>
              <w:rPr>
                <w:rFonts w:hint="eastAsia" w:asciiTheme="minorEastAsia" w:hAnsiTheme="minorEastAsia" w:eastAsiaTheme="minorEastAsia"/>
              </w:rPr>
              <w:t>工业和信息化部、人力资源和社会保障部按照职责分工负责</w:t>
            </w:r>
          </w:p>
        </w:tc>
      </w:tr>
      <w:tr>
        <w:tblPrEx>
          <w:tblCellMar>
            <w:top w:w="0" w:type="dxa"/>
            <w:left w:w="0" w:type="dxa"/>
            <w:bottom w:w="0" w:type="dxa"/>
            <w:right w:w="0" w:type="dxa"/>
          </w:tblCellMar>
        </w:tblPrEx>
        <w:trPr>
          <w:trHeight w:val="855" w:hRule="atLeast"/>
        </w:trPr>
        <w:tc>
          <w:tcPr>
            <w:tcW w:w="2189" w:type="dxa"/>
            <w:vMerge w:val="restart"/>
            <w:tcBorders>
              <w:top w:val="single" w:color="000000" w:sz="2" w:space="0"/>
              <w:left w:val="single" w:color="000000" w:sz="4" w:space="0"/>
              <w:bottom w:val="single" w:color="000000" w:sz="2" w:space="0"/>
              <w:right w:val="single" w:color="000000" w:sz="2" w:space="0"/>
            </w:tcBorders>
            <w:tcMar>
              <w:top w:w="28" w:type="dxa"/>
              <w:left w:w="28" w:type="dxa"/>
              <w:bottom w:w="28" w:type="dxa"/>
              <w:right w:w="28" w:type="dxa"/>
            </w:tcMar>
            <w:vAlign w:val="center"/>
          </w:tcPr>
          <w:p>
            <w:pPr>
              <w:pStyle w:val="7"/>
              <w:jc w:val="left"/>
              <w:rPr>
                <w:rFonts w:asciiTheme="minorEastAsia" w:hAnsiTheme="minorEastAsia" w:eastAsiaTheme="minorEastAsia"/>
              </w:rPr>
            </w:pPr>
            <w:r>
              <w:rPr>
                <w:rFonts w:hint="eastAsia" w:asciiTheme="minorEastAsia" w:hAnsiTheme="minorEastAsia" w:eastAsiaTheme="minorEastAsia"/>
              </w:rPr>
              <w:t>推动重点领域设计突破</w:t>
            </w:r>
          </w:p>
        </w:tc>
        <w:tc>
          <w:tcPr>
            <w:tcW w:w="7687"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7"/>
              <w:jc w:val="both"/>
              <w:rPr>
                <w:rFonts w:asciiTheme="minorEastAsia" w:hAnsiTheme="minorEastAsia" w:eastAsiaTheme="minorEastAsia"/>
              </w:rPr>
            </w:pPr>
            <w:r>
              <w:rPr>
                <w:rFonts w:asciiTheme="minorEastAsia" w:hAnsiTheme="minorEastAsia" w:eastAsiaTheme="minorEastAsia"/>
              </w:rPr>
              <w:t>5.</w:t>
            </w:r>
            <w:r>
              <w:rPr>
                <w:rFonts w:hint="eastAsia" w:asciiTheme="minorEastAsia" w:hAnsiTheme="minorEastAsia" w:eastAsiaTheme="minorEastAsia"/>
              </w:rPr>
              <w:t>聚集装备制造业开放设计平台建设，特种用途或特殊环境装备设计，高端装备关键零部件设计等重点，拟订并发布制造业短板领域设计问题清单，探索利用“揭榜挂帅”机制，引导相关地区和机构联合攻关，加快突破关键核心技术，促进设计成果创新示范应用。</w:t>
            </w:r>
          </w:p>
        </w:tc>
        <w:tc>
          <w:tcPr>
            <w:tcW w:w="3691" w:type="dxa"/>
            <w:tcBorders>
              <w:top w:val="single" w:color="000000" w:sz="2" w:space="0"/>
              <w:left w:val="single" w:color="000000" w:sz="2" w:space="0"/>
              <w:bottom w:val="single" w:color="000000" w:sz="2" w:space="0"/>
              <w:right w:val="single" w:color="000000" w:sz="4" w:space="0"/>
            </w:tcBorders>
            <w:tcMar>
              <w:top w:w="28" w:type="dxa"/>
              <w:left w:w="28" w:type="dxa"/>
              <w:bottom w:w="28" w:type="dxa"/>
              <w:right w:w="28" w:type="dxa"/>
            </w:tcMar>
            <w:vAlign w:val="center"/>
          </w:tcPr>
          <w:p>
            <w:pPr>
              <w:pStyle w:val="7"/>
              <w:jc w:val="both"/>
              <w:rPr>
                <w:rFonts w:asciiTheme="minorEastAsia" w:hAnsiTheme="minorEastAsia" w:eastAsiaTheme="minorEastAsia"/>
              </w:rPr>
            </w:pPr>
            <w:r>
              <w:rPr>
                <w:rFonts w:hint="eastAsia" w:asciiTheme="minorEastAsia" w:hAnsiTheme="minorEastAsia" w:eastAsiaTheme="minorEastAsia"/>
              </w:rPr>
              <w:t>工业和信息化部、工程院按照职责分工负责</w:t>
            </w:r>
          </w:p>
        </w:tc>
      </w:tr>
      <w:tr>
        <w:tblPrEx>
          <w:tblCellMar>
            <w:top w:w="0" w:type="dxa"/>
            <w:left w:w="0" w:type="dxa"/>
            <w:bottom w:w="0" w:type="dxa"/>
            <w:right w:w="0" w:type="dxa"/>
          </w:tblCellMar>
        </w:tblPrEx>
        <w:trPr>
          <w:trHeight w:val="959" w:hRule="atLeast"/>
        </w:trPr>
        <w:tc>
          <w:tcPr>
            <w:tcW w:w="2189" w:type="dxa"/>
            <w:vMerge w:val="continue"/>
            <w:tcBorders>
              <w:top w:val="single" w:color="000000" w:sz="2" w:space="0"/>
              <w:left w:val="single" w:color="000000" w:sz="4" w:space="0"/>
              <w:bottom w:val="single" w:color="000000" w:sz="2" w:space="0"/>
              <w:right w:val="single" w:color="000000" w:sz="2" w:space="0"/>
            </w:tcBorders>
          </w:tcPr>
          <w:p>
            <w:pPr>
              <w:pStyle w:val="10"/>
              <w:spacing w:line="240" w:lineRule="auto"/>
              <w:jc w:val="left"/>
              <w:textAlignment w:val="auto"/>
              <w:rPr>
                <w:rFonts w:asciiTheme="minorEastAsia" w:hAnsiTheme="minorEastAsia" w:eastAsiaTheme="minorEastAsia" w:cstheme="minorBidi"/>
                <w:color w:val="auto"/>
                <w:lang w:val="en-US"/>
              </w:rPr>
            </w:pPr>
          </w:p>
        </w:tc>
        <w:tc>
          <w:tcPr>
            <w:tcW w:w="7687"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7"/>
              <w:jc w:val="both"/>
              <w:rPr>
                <w:rFonts w:asciiTheme="minorEastAsia" w:hAnsiTheme="minorEastAsia" w:eastAsiaTheme="minorEastAsia"/>
              </w:rPr>
            </w:pPr>
            <w:r>
              <w:rPr>
                <w:rFonts w:asciiTheme="minorEastAsia" w:hAnsiTheme="minorEastAsia" w:eastAsiaTheme="minorEastAsia"/>
              </w:rPr>
              <w:t>6.</w:t>
            </w:r>
            <w:r>
              <w:rPr>
                <w:rFonts w:hint="eastAsia" w:asciiTheme="minorEastAsia" w:hAnsiTheme="minorEastAsia" w:eastAsiaTheme="minorEastAsia"/>
              </w:rPr>
              <w:t>支持清洁高效节约能源产品设备的设计，提升发电装备、余热回收装备、终端用能设备、太阳能利用装置的设计水平。发展循环经济，鼓励开展废弃物回收利用，通过设计创新提升废弃物加工转化设备的效能。推进绿色包装材料、包装回收利用体系设计。</w:t>
            </w:r>
          </w:p>
        </w:tc>
        <w:tc>
          <w:tcPr>
            <w:tcW w:w="3691" w:type="dxa"/>
            <w:tcBorders>
              <w:top w:val="single" w:color="000000" w:sz="2" w:space="0"/>
              <w:left w:val="single" w:color="000000" w:sz="2" w:space="0"/>
              <w:bottom w:val="single" w:color="000000" w:sz="2" w:space="0"/>
              <w:right w:val="single" w:color="000000" w:sz="4" w:space="0"/>
            </w:tcBorders>
            <w:tcMar>
              <w:top w:w="28" w:type="dxa"/>
              <w:left w:w="28" w:type="dxa"/>
              <w:bottom w:w="28" w:type="dxa"/>
              <w:right w:w="28" w:type="dxa"/>
            </w:tcMar>
            <w:vAlign w:val="center"/>
          </w:tcPr>
          <w:p>
            <w:pPr>
              <w:pStyle w:val="7"/>
              <w:jc w:val="both"/>
              <w:rPr>
                <w:rFonts w:asciiTheme="minorEastAsia" w:hAnsiTheme="minorEastAsia" w:eastAsiaTheme="minorEastAsia"/>
              </w:rPr>
            </w:pPr>
            <w:r>
              <w:rPr>
                <w:rFonts w:hint="eastAsia" w:asciiTheme="minorEastAsia" w:hAnsiTheme="minorEastAsia" w:eastAsiaTheme="minorEastAsia"/>
              </w:rPr>
              <w:t>工业和信息化部、发展改革委按照职责分工负责</w:t>
            </w:r>
          </w:p>
        </w:tc>
      </w:tr>
      <w:tr>
        <w:tblPrEx>
          <w:tblCellMar>
            <w:top w:w="0" w:type="dxa"/>
            <w:left w:w="0" w:type="dxa"/>
            <w:bottom w:w="0" w:type="dxa"/>
            <w:right w:w="0" w:type="dxa"/>
          </w:tblCellMar>
        </w:tblPrEx>
        <w:trPr>
          <w:trHeight w:val="981" w:hRule="atLeast"/>
        </w:trPr>
        <w:tc>
          <w:tcPr>
            <w:tcW w:w="2189" w:type="dxa"/>
            <w:vMerge w:val="restart"/>
            <w:tcBorders>
              <w:top w:val="single" w:color="000000" w:sz="2" w:space="0"/>
              <w:left w:val="single" w:color="000000" w:sz="4" w:space="0"/>
              <w:bottom w:val="single" w:color="000000" w:sz="2" w:space="0"/>
              <w:right w:val="single" w:color="000000" w:sz="2" w:space="0"/>
            </w:tcBorders>
            <w:tcMar>
              <w:top w:w="28" w:type="dxa"/>
              <w:left w:w="28" w:type="dxa"/>
              <w:bottom w:w="28" w:type="dxa"/>
              <w:right w:w="28" w:type="dxa"/>
            </w:tcMar>
            <w:vAlign w:val="center"/>
          </w:tcPr>
          <w:p>
            <w:pPr>
              <w:pStyle w:val="7"/>
              <w:jc w:val="left"/>
              <w:rPr>
                <w:rFonts w:asciiTheme="minorEastAsia" w:hAnsiTheme="minorEastAsia" w:eastAsiaTheme="minorEastAsia"/>
              </w:rPr>
            </w:pPr>
            <w:r>
              <w:rPr>
                <w:rFonts w:hint="eastAsia" w:asciiTheme="minorEastAsia" w:hAnsiTheme="minorEastAsia" w:eastAsiaTheme="minorEastAsia"/>
              </w:rPr>
              <w:t>培育高端制造业设计人才</w:t>
            </w:r>
          </w:p>
        </w:tc>
        <w:tc>
          <w:tcPr>
            <w:tcW w:w="7687"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7"/>
              <w:jc w:val="both"/>
              <w:rPr>
                <w:rFonts w:asciiTheme="minorEastAsia" w:hAnsiTheme="minorEastAsia" w:eastAsiaTheme="minorEastAsia"/>
              </w:rPr>
            </w:pPr>
            <w:r>
              <w:rPr>
                <w:rFonts w:asciiTheme="minorEastAsia" w:hAnsiTheme="minorEastAsia" w:eastAsiaTheme="minorEastAsia"/>
              </w:rPr>
              <w:t>7.</w:t>
            </w:r>
            <w:r>
              <w:rPr>
                <w:rFonts w:hint="eastAsia" w:asciiTheme="minorEastAsia" w:hAnsiTheme="minorEastAsia" w:eastAsiaTheme="minorEastAsia"/>
              </w:rPr>
              <w:t>结合“新工科”建设，推文</w:t>
            </w:r>
            <w:r>
              <w:rPr>
                <w:rFonts w:asciiTheme="minorEastAsia" w:hAnsiTheme="minorEastAsia" w:eastAsiaTheme="minorEastAsia"/>
              </w:rPr>
              <w:t>CDIO</w:t>
            </w:r>
            <w:r>
              <w:rPr>
                <w:rFonts w:hint="eastAsia" w:asciiTheme="minorEastAsia" w:hAnsiTheme="minorEastAsia" w:eastAsiaTheme="minorEastAsia"/>
              </w:rPr>
              <w:t>（构思—设计—实现—运作）工程教育模式。引导各类设计院校（系）共享优质课程，联合培养高素质复合型设计人才。建设以设计为主题的产教融合机构。持续开展设计领军人才培训。建设制造业设计实训基地。培养设计领域国际化人才。</w:t>
            </w:r>
          </w:p>
        </w:tc>
        <w:tc>
          <w:tcPr>
            <w:tcW w:w="3691" w:type="dxa"/>
            <w:tcBorders>
              <w:top w:val="single" w:color="000000" w:sz="2" w:space="0"/>
              <w:left w:val="single" w:color="000000" w:sz="2" w:space="0"/>
              <w:bottom w:val="single" w:color="000000" w:sz="2" w:space="0"/>
              <w:right w:val="single" w:color="000000" w:sz="4" w:space="0"/>
            </w:tcBorders>
            <w:tcMar>
              <w:top w:w="28" w:type="dxa"/>
              <w:left w:w="28" w:type="dxa"/>
              <w:bottom w:w="28" w:type="dxa"/>
              <w:right w:w="28" w:type="dxa"/>
            </w:tcMar>
            <w:vAlign w:val="center"/>
          </w:tcPr>
          <w:p>
            <w:pPr>
              <w:pStyle w:val="7"/>
              <w:jc w:val="both"/>
              <w:rPr>
                <w:rFonts w:asciiTheme="minorEastAsia" w:hAnsiTheme="minorEastAsia" w:eastAsiaTheme="minorEastAsia"/>
              </w:rPr>
            </w:pPr>
            <w:r>
              <w:rPr>
                <w:rFonts w:hint="eastAsia" w:asciiTheme="minorEastAsia" w:hAnsiTheme="minorEastAsia" w:eastAsiaTheme="minorEastAsia"/>
              </w:rPr>
              <w:t>教育部、工业和信息化部按照职责分工负责</w:t>
            </w:r>
          </w:p>
        </w:tc>
      </w:tr>
      <w:tr>
        <w:tblPrEx>
          <w:tblCellMar>
            <w:top w:w="0" w:type="dxa"/>
            <w:left w:w="0" w:type="dxa"/>
            <w:bottom w:w="0" w:type="dxa"/>
            <w:right w:w="0" w:type="dxa"/>
          </w:tblCellMar>
        </w:tblPrEx>
        <w:trPr>
          <w:trHeight w:val="707" w:hRule="atLeast"/>
        </w:trPr>
        <w:tc>
          <w:tcPr>
            <w:tcW w:w="2189" w:type="dxa"/>
            <w:vMerge w:val="continue"/>
            <w:tcBorders>
              <w:top w:val="single" w:color="000000" w:sz="2" w:space="0"/>
              <w:left w:val="single" w:color="000000" w:sz="4" w:space="0"/>
              <w:bottom w:val="single" w:color="000000" w:sz="2" w:space="0"/>
              <w:right w:val="single" w:color="000000" w:sz="2" w:space="0"/>
            </w:tcBorders>
          </w:tcPr>
          <w:p>
            <w:pPr>
              <w:pStyle w:val="10"/>
              <w:spacing w:line="240" w:lineRule="auto"/>
              <w:jc w:val="left"/>
              <w:textAlignment w:val="auto"/>
              <w:rPr>
                <w:rFonts w:asciiTheme="minorEastAsia" w:hAnsiTheme="minorEastAsia" w:eastAsiaTheme="minorEastAsia" w:cstheme="minorBidi"/>
                <w:color w:val="auto"/>
                <w:lang w:val="en-US"/>
              </w:rPr>
            </w:pPr>
          </w:p>
        </w:tc>
        <w:tc>
          <w:tcPr>
            <w:tcW w:w="7687"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7"/>
              <w:jc w:val="both"/>
              <w:rPr>
                <w:rFonts w:asciiTheme="minorEastAsia" w:hAnsiTheme="minorEastAsia" w:eastAsiaTheme="minorEastAsia"/>
              </w:rPr>
            </w:pPr>
            <w:r>
              <w:rPr>
                <w:rFonts w:asciiTheme="minorEastAsia" w:hAnsiTheme="minorEastAsia" w:eastAsiaTheme="minorEastAsia"/>
              </w:rPr>
              <w:t>8.</w:t>
            </w:r>
            <w:r>
              <w:rPr>
                <w:rFonts w:hint="eastAsia" w:asciiTheme="minorEastAsia" w:hAnsiTheme="minorEastAsia" w:eastAsiaTheme="minorEastAsia"/>
              </w:rPr>
              <w:t>加大工业设计人才培养培育力度。</w:t>
            </w:r>
          </w:p>
        </w:tc>
        <w:tc>
          <w:tcPr>
            <w:tcW w:w="3691" w:type="dxa"/>
            <w:tcBorders>
              <w:top w:val="single" w:color="000000" w:sz="2" w:space="0"/>
              <w:left w:val="single" w:color="000000" w:sz="2" w:space="0"/>
              <w:bottom w:val="single" w:color="000000" w:sz="2" w:space="0"/>
              <w:right w:val="single" w:color="000000" w:sz="4" w:space="0"/>
            </w:tcBorders>
            <w:tcMar>
              <w:top w:w="28" w:type="dxa"/>
              <w:left w:w="28" w:type="dxa"/>
              <w:bottom w:w="28" w:type="dxa"/>
              <w:right w:w="28" w:type="dxa"/>
            </w:tcMar>
            <w:vAlign w:val="center"/>
          </w:tcPr>
          <w:p>
            <w:pPr>
              <w:pStyle w:val="7"/>
              <w:jc w:val="both"/>
              <w:rPr>
                <w:rFonts w:asciiTheme="minorEastAsia" w:hAnsiTheme="minorEastAsia" w:eastAsiaTheme="minorEastAsia"/>
              </w:rPr>
            </w:pPr>
            <w:r>
              <w:rPr>
                <w:rFonts w:hint="eastAsia" w:asciiTheme="minorEastAsia" w:hAnsiTheme="minorEastAsia" w:eastAsiaTheme="minorEastAsia"/>
              </w:rPr>
              <w:t>工业和信息化部、</w:t>
            </w:r>
            <w:bookmarkStart w:id="0" w:name="_GoBack"/>
            <w:bookmarkEnd w:id="0"/>
            <w:r>
              <w:rPr>
                <w:rFonts w:hint="eastAsia" w:asciiTheme="minorEastAsia" w:hAnsiTheme="minorEastAsia" w:eastAsiaTheme="minorEastAsia"/>
                <w:lang w:eastAsia="zh-CN"/>
              </w:rPr>
              <w:t>人力资源和社会保障部</w:t>
            </w:r>
            <w:r>
              <w:rPr>
                <w:rFonts w:hint="eastAsia" w:asciiTheme="minorEastAsia" w:hAnsiTheme="minorEastAsia" w:eastAsiaTheme="minorEastAsia"/>
              </w:rPr>
              <w:t>按照职责分工负责</w:t>
            </w:r>
          </w:p>
        </w:tc>
      </w:tr>
      <w:tr>
        <w:tblPrEx>
          <w:tblCellMar>
            <w:top w:w="0" w:type="dxa"/>
            <w:left w:w="0" w:type="dxa"/>
            <w:bottom w:w="0" w:type="dxa"/>
            <w:right w:w="0" w:type="dxa"/>
          </w:tblCellMar>
        </w:tblPrEx>
        <w:trPr>
          <w:trHeight w:val="707" w:hRule="atLeast"/>
        </w:trPr>
        <w:tc>
          <w:tcPr>
            <w:tcW w:w="2189" w:type="dxa"/>
            <w:vMerge w:val="restart"/>
            <w:tcBorders>
              <w:top w:val="single" w:color="000000" w:sz="2" w:space="0"/>
              <w:left w:val="single" w:color="000000" w:sz="4" w:space="0"/>
              <w:bottom w:val="single" w:color="000000" w:sz="2" w:space="0"/>
              <w:right w:val="single" w:color="000000" w:sz="2" w:space="0"/>
            </w:tcBorders>
            <w:tcMar>
              <w:top w:w="28" w:type="dxa"/>
              <w:left w:w="28" w:type="dxa"/>
              <w:bottom w:w="28" w:type="dxa"/>
              <w:right w:w="28" w:type="dxa"/>
            </w:tcMar>
            <w:vAlign w:val="center"/>
          </w:tcPr>
          <w:p>
            <w:pPr>
              <w:pStyle w:val="7"/>
              <w:jc w:val="left"/>
              <w:rPr>
                <w:rFonts w:asciiTheme="minorEastAsia" w:hAnsiTheme="minorEastAsia" w:eastAsiaTheme="minorEastAsia"/>
              </w:rPr>
            </w:pPr>
            <w:r>
              <w:rPr>
                <w:rFonts w:hint="eastAsia" w:asciiTheme="minorEastAsia" w:hAnsiTheme="minorEastAsia" w:eastAsiaTheme="minorEastAsia"/>
              </w:rPr>
              <w:t>培育壮大设计主体</w:t>
            </w:r>
          </w:p>
        </w:tc>
        <w:tc>
          <w:tcPr>
            <w:tcW w:w="7687"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7"/>
              <w:jc w:val="both"/>
              <w:rPr>
                <w:rFonts w:asciiTheme="minorEastAsia" w:hAnsiTheme="minorEastAsia" w:eastAsiaTheme="minorEastAsia"/>
              </w:rPr>
            </w:pPr>
            <w:r>
              <w:rPr>
                <w:rFonts w:asciiTheme="minorEastAsia" w:hAnsiTheme="minorEastAsia" w:eastAsiaTheme="minorEastAsia"/>
              </w:rPr>
              <w:t>9.</w:t>
            </w:r>
            <w:r>
              <w:rPr>
                <w:rFonts w:hint="eastAsia" w:asciiTheme="minorEastAsia" w:hAnsiTheme="minorEastAsia" w:eastAsiaTheme="minorEastAsia"/>
              </w:rPr>
              <w:t>继续认定国家级工业设计中心，定期组织交流学习，为中心提供融资、培训、国际交流合作等公共服务。发展设计服务外包。</w:t>
            </w:r>
          </w:p>
        </w:tc>
        <w:tc>
          <w:tcPr>
            <w:tcW w:w="3691" w:type="dxa"/>
            <w:tcBorders>
              <w:top w:val="single" w:color="000000" w:sz="2" w:space="0"/>
              <w:left w:val="single" w:color="000000" w:sz="2" w:space="0"/>
              <w:bottom w:val="single" w:color="000000" w:sz="2" w:space="0"/>
              <w:right w:val="single" w:color="000000" w:sz="4" w:space="0"/>
            </w:tcBorders>
            <w:tcMar>
              <w:top w:w="28" w:type="dxa"/>
              <w:left w:w="28" w:type="dxa"/>
              <w:bottom w:w="28" w:type="dxa"/>
              <w:right w:w="28" w:type="dxa"/>
            </w:tcMar>
            <w:vAlign w:val="center"/>
          </w:tcPr>
          <w:p>
            <w:pPr>
              <w:pStyle w:val="7"/>
              <w:jc w:val="both"/>
              <w:rPr>
                <w:rFonts w:asciiTheme="minorEastAsia" w:hAnsiTheme="minorEastAsia" w:eastAsiaTheme="minorEastAsia"/>
              </w:rPr>
            </w:pPr>
            <w:r>
              <w:rPr>
                <w:rFonts w:hint="eastAsia" w:asciiTheme="minorEastAsia" w:hAnsiTheme="minorEastAsia" w:eastAsiaTheme="minorEastAsia"/>
              </w:rPr>
              <w:t>工业和信息化部、商务部按照职责分工负责</w:t>
            </w:r>
          </w:p>
        </w:tc>
      </w:tr>
      <w:tr>
        <w:tblPrEx>
          <w:tblCellMar>
            <w:top w:w="0" w:type="dxa"/>
            <w:left w:w="0" w:type="dxa"/>
            <w:bottom w:w="0" w:type="dxa"/>
            <w:right w:w="0" w:type="dxa"/>
          </w:tblCellMar>
        </w:tblPrEx>
        <w:trPr>
          <w:trHeight w:val="707" w:hRule="atLeast"/>
        </w:trPr>
        <w:tc>
          <w:tcPr>
            <w:tcW w:w="2189" w:type="dxa"/>
            <w:vMerge w:val="continue"/>
            <w:tcBorders>
              <w:top w:val="single" w:color="000000" w:sz="2" w:space="0"/>
              <w:left w:val="single" w:color="000000" w:sz="4" w:space="0"/>
              <w:bottom w:val="single" w:color="000000" w:sz="2" w:space="0"/>
              <w:right w:val="single" w:color="000000" w:sz="2" w:space="0"/>
            </w:tcBorders>
          </w:tcPr>
          <w:p>
            <w:pPr>
              <w:pStyle w:val="10"/>
              <w:spacing w:line="240" w:lineRule="auto"/>
              <w:jc w:val="left"/>
              <w:textAlignment w:val="auto"/>
              <w:rPr>
                <w:rFonts w:asciiTheme="minorEastAsia" w:hAnsiTheme="minorEastAsia" w:eastAsiaTheme="minorEastAsia" w:cstheme="minorBidi"/>
                <w:color w:val="auto"/>
                <w:lang w:val="en-US"/>
              </w:rPr>
            </w:pPr>
          </w:p>
        </w:tc>
        <w:tc>
          <w:tcPr>
            <w:tcW w:w="7687"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7"/>
              <w:jc w:val="both"/>
              <w:rPr>
                <w:rFonts w:asciiTheme="minorEastAsia" w:hAnsiTheme="minorEastAsia" w:eastAsiaTheme="minorEastAsia"/>
              </w:rPr>
            </w:pPr>
            <w:r>
              <w:rPr>
                <w:rFonts w:asciiTheme="minorEastAsia" w:hAnsiTheme="minorEastAsia" w:eastAsiaTheme="minorEastAsia"/>
              </w:rPr>
              <w:t>10.</w:t>
            </w:r>
            <w:r>
              <w:rPr>
                <w:rFonts w:hint="eastAsia" w:asciiTheme="minorEastAsia" w:hAnsiTheme="minorEastAsia" w:eastAsiaTheme="minorEastAsia"/>
              </w:rPr>
              <w:t>鼓励有条件的地区加大财政投入，建立健全设计类中小企业公共服务平台，打造产研对接的产业创新模式，奖励各类重大设计创新成果。</w:t>
            </w:r>
          </w:p>
        </w:tc>
        <w:tc>
          <w:tcPr>
            <w:tcW w:w="3691" w:type="dxa"/>
            <w:tcBorders>
              <w:top w:val="single" w:color="000000" w:sz="2" w:space="0"/>
              <w:left w:val="single" w:color="000000" w:sz="2" w:space="0"/>
              <w:bottom w:val="single" w:color="000000" w:sz="2" w:space="0"/>
              <w:right w:val="single" w:color="000000" w:sz="4" w:space="0"/>
            </w:tcBorders>
            <w:tcMar>
              <w:top w:w="28" w:type="dxa"/>
              <w:left w:w="28" w:type="dxa"/>
              <w:bottom w:w="28" w:type="dxa"/>
              <w:right w:w="28" w:type="dxa"/>
            </w:tcMar>
            <w:vAlign w:val="center"/>
          </w:tcPr>
          <w:p>
            <w:pPr>
              <w:pStyle w:val="7"/>
              <w:jc w:val="both"/>
              <w:rPr>
                <w:rFonts w:asciiTheme="minorEastAsia" w:hAnsiTheme="minorEastAsia" w:eastAsiaTheme="minorEastAsia"/>
              </w:rPr>
            </w:pPr>
            <w:r>
              <w:rPr>
                <w:rFonts w:hint="eastAsia" w:asciiTheme="minorEastAsia" w:hAnsiTheme="minorEastAsia" w:eastAsiaTheme="minorEastAsia"/>
              </w:rPr>
              <w:t>工业和信息化部、各地工业和信息化主管部门按照职责分工负责</w:t>
            </w:r>
          </w:p>
        </w:tc>
      </w:tr>
      <w:tr>
        <w:tblPrEx>
          <w:tblCellMar>
            <w:top w:w="0" w:type="dxa"/>
            <w:left w:w="0" w:type="dxa"/>
            <w:bottom w:w="0" w:type="dxa"/>
            <w:right w:w="0" w:type="dxa"/>
          </w:tblCellMar>
        </w:tblPrEx>
        <w:trPr>
          <w:trHeight w:val="707" w:hRule="atLeast"/>
        </w:trPr>
        <w:tc>
          <w:tcPr>
            <w:tcW w:w="2189" w:type="dxa"/>
            <w:vMerge w:val="restart"/>
            <w:tcBorders>
              <w:top w:val="single" w:color="000000" w:sz="2" w:space="0"/>
              <w:left w:val="single" w:color="000000" w:sz="4" w:space="0"/>
              <w:bottom w:val="single" w:color="000000" w:sz="2" w:space="0"/>
              <w:right w:val="single" w:color="000000" w:sz="2" w:space="0"/>
            </w:tcBorders>
            <w:tcMar>
              <w:top w:w="28" w:type="dxa"/>
              <w:left w:w="28" w:type="dxa"/>
              <w:bottom w:w="28" w:type="dxa"/>
              <w:right w:w="28" w:type="dxa"/>
            </w:tcMar>
            <w:vAlign w:val="center"/>
          </w:tcPr>
          <w:p>
            <w:pPr>
              <w:pStyle w:val="7"/>
              <w:jc w:val="left"/>
              <w:rPr>
                <w:rFonts w:asciiTheme="minorEastAsia" w:hAnsiTheme="minorEastAsia" w:eastAsiaTheme="minorEastAsia"/>
              </w:rPr>
            </w:pPr>
            <w:r>
              <w:rPr>
                <w:rFonts w:hint="eastAsia" w:asciiTheme="minorEastAsia" w:hAnsiTheme="minorEastAsia" w:eastAsiaTheme="minorEastAsia"/>
              </w:rPr>
              <w:t>构建工业设计公共服务网络</w:t>
            </w:r>
          </w:p>
        </w:tc>
        <w:tc>
          <w:tcPr>
            <w:tcW w:w="7687"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7"/>
              <w:jc w:val="both"/>
              <w:rPr>
                <w:rFonts w:asciiTheme="minorEastAsia" w:hAnsiTheme="minorEastAsia" w:eastAsiaTheme="minorEastAsia"/>
              </w:rPr>
            </w:pPr>
            <w:r>
              <w:rPr>
                <w:rFonts w:asciiTheme="minorEastAsia" w:hAnsiTheme="minorEastAsia" w:eastAsiaTheme="minorEastAsia"/>
              </w:rPr>
              <w:t>11.</w:t>
            </w:r>
            <w:r>
              <w:rPr>
                <w:rFonts w:hint="eastAsia" w:asciiTheme="minorEastAsia" w:hAnsiTheme="minorEastAsia" w:eastAsiaTheme="minorEastAsia"/>
              </w:rPr>
              <w:t>多渠道多方式支持工业设计研究院建设。</w:t>
            </w:r>
          </w:p>
        </w:tc>
        <w:tc>
          <w:tcPr>
            <w:tcW w:w="3691" w:type="dxa"/>
            <w:tcBorders>
              <w:top w:val="single" w:color="000000" w:sz="2" w:space="0"/>
              <w:left w:val="single" w:color="000000" w:sz="2" w:space="0"/>
              <w:bottom w:val="single" w:color="000000" w:sz="2" w:space="0"/>
              <w:right w:val="single" w:color="000000" w:sz="4" w:space="0"/>
            </w:tcBorders>
            <w:tcMar>
              <w:top w:w="28" w:type="dxa"/>
              <w:left w:w="28" w:type="dxa"/>
              <w:bottom w:w="28" w:type="dxa"/>
              <w:right w:w="28" w:type="dxa"/>
            </w:tcMar>
            <w:vAlign w:val="center"/>
          </w:tcPr>
          <w:p>
            <w:pPr>
              <w:pStyle w:val="7"/>
              <w:jc w:val="both"/>
              <w:rPr>
                <w:rFonts w:asciiTheme="minorEastAsia" w:hAnsiTheme="minorEastAsia" w:eastAsiaTheme="minorEastAsia"/>
              </w:rPr>
            </w:pPr>
            <w:r>
              <w:rPr>
                <w:rFonts w:hint="eastAsia" w:asciiTheme="minorEastAsia" w:hAnsiTheme="minorEastAsia" w:eastAsiaTheme="minorEastAsia"/>
              </w:rPr>
              <w:t>工业和信息化部、各地工业和信息化主管部门按照职责分工负责</w:t>
            </w:r>
          </w:p>
        </w:tc>
      </w:tr>
      <w:tr>
        <w:tblPrEx>
          <w:tblCellMar>
            <w:top w:w="0" w:type="dxa"/>
            <w:left w:w="0" w:type="dxa"/>
            <w:bottom w:w="0" w:type="dxa"/>
            <w:right w:w="0" w:type="dxa"/>
          </w:tblCellMar>
        </w:tblPrEx>
        <w:trPr>
          <w:trHeight w:val="707" w:hRule="atLeast"/>
        </w:trPr>
        <w:tc>
          <w:tcPr>
            <w:tcW w:w="2189" w:type="dxa"/>
            <w:vMerge w:val="continue"/>
            <w:tcBorders>
              <w:top w:val="single" w:color="000000" w:sz="2" w:space="0"/>
              <w:left w:val="single" w:color="000000" w:sz="4" w:space="0"/>
              <w:bottom w:val="single" w:color="000000" w:sz="2" w:space="0"/>
              <w:right w:val="single" w:color="000000" w:sz="2" w:space="0"/>
            </w:tcBorders>
          </w:tcPr>
          <w:p>
            <w:pPr>
              <w:pStyle w:val="10"/>
              <w:spacing w:line="240" w:lineRule="auto"/>
              <w:jc w:val="left"/>
              <w:textAlignment w:val="auto"/>
              <w:rPr>
                <w:rFonts w:asciiTheme="minorEastAsia" w:hAnsiTheme="minorEastAsia" w:eastAsiaTheme="minorEastAsia" w:cstheme="minorBidi"/>
                <w:color w:val="auto"/>
                <w:lang w:val="en-US"/>
              </w:rPr>
            </w:pPr>
          </w:p>
        </w:tc>
        <w:tc>
          <w:tcPr>
            <w:tcW w:w="7687"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7"/>
              <w:jc w:val="both"/>
              <w:rPr>
                <w:rFonts w:asciiTheme="minorEastAsia" w:hAnsiTheme="minorEastAsia" w:eastAsiaTheme="minorEastAsia"/>
              </w:rPr>
            </w:pPr>
            <w:r>
              <w:rPr>
                <w:rFonts w:asciiTheme="minorEastAsia" w:hAnsiTheme="minorEastAsia" w:eastAsiaTheme="minorEastAsia"/>
              </w:rPr>
              <w:t>12.</w:t>
            </w:r>
            <w:r>
              <w:rPr>
                <w:rFonts w:hint="eastAsia" w:asciiTheme="minorEastAsia" w:hAnsiTheme="minorEastAsia" w:eastAsiaTheme="minorEastAsia"/>
              </w:rPr>
              <w:t>加大对外观设计专利侵权的惩戒力度，严厉打击外观设计专利侵权等违法行为。加强设计类评奖、大赛、展览的知识产权保护。适当扩大外观设计专利权保护客体的范围。</w:t>
            </w:r>
          </w:p>
        </w:tc>
        <w:tc>
          <w:tcPr>
            <w:tcW w:w="3691" w:type="dxa"/>
            <w:tcBorders>
              <w:top w:val="single" w:color="000000" w:sz="2" w:space="0"/>
              <w:left w:val="single" w:color="000000" w:sz="2" w:space="0"/>
              <w:bottom w:val="single" w:color="000000" w:sz="2" w:space="0"/>
              <w:right w:val="single" w:color="000000" w:sz="4" w:space="0"/>
            </w:tcBorders>
            <w:tcMar>
              <w:top w:w="28" w:type="dxa"/>
              <w:left w:w="28" w:type="dxa"/>
              <w:bottom w:w="28" w:type="dxa"/>
              <w:right w:w="28" w:type="dxa"/>
            </w:tcMar>
            <w:vAlign w:val="center"/>
          </w:tcPr>
          <w:p>
            <w:pPr>
              <w:pStyle w:val="7"/>
              <w:jc w:val="both"/>
              <w:rPr>
                <w:rFonts w:asciiTheme="minorEastAsia" w:hAnsiTheme="minorEastAsia" w:eastAsiaTheme="minorEastAsia"/>
              </w:rPr>
            </w:pPr>
            <w:r>
              <w:rPr>
                <w:rFonts w:hint="eastAsia" w:asciiTheme="minorEastAsia" w:hAnsiTheme="minorEastAsia" w:eastAsiaTheme="minorEastAsia"/>
              </w:rPr>
              <w:t>工业和信息化部、知识产权局按照职责分工负责</w:t>
            </w:r>
          </w:p>
        </w:tc>
      </w:tr>
      <w:tr>
        <w:tblPrEx>
          <w:tblCellMar>
            <w:top w:w="0" w:type="dxa"/>
            <w:left w:w="0" w:type="dxa"/>
            <w:bottom w:w="0" w:type="dxa"/>
            <w:right w:w="0" w:type="dxa"/>
          </w:tblCellMar>
        </w:tblPrEx>
        <w:trPr>
          <w:trHeight w:val="707" w:hRule="atLeast"/>
        </w:trPr>
        <w:tc>
          <w:tcPr>
            <w:tcW w:w="2189" w:type="dxa"/>
            <w:vMerge w:val="continue"/>
            <w:tcBorders>
              <w:top w:val="single" w:color="000000" w:sz="2" w:space="0"/>
              <w:left w:val="single" w:color="000000" w:sz="4" w:space="0"/>
              <w:bottom w:val="single" w:color="000000" w:sz="2" w:space="0"/>
              <w:right w:val="single" w:color="000000" w:sz="2" w:space="0"/>
            </w:tcBorders>
          </w:tcPr>
          <w:p>
            <w:pPr>
              <w:pStyle w:val="10"/>
              <w:spacing w:line="240" w:lineRule="auto"/>
              <w:jc w:val="left"/>
              <w:textAlignment w:val="auto"/>
              <w:rPr>
                <w:rFonts w:asciiTheme="minorEastAsia" w:hAnsiTheme="minorEastAsia" w:eastAsiaTheme="minorEastAsia" w:cstheme="minorBidi"/>
                <w:color w:val="auto"/>
                <w:lang w:val="en-US"/>
              </w:rPr>
            </w:pPr>
          </w:p>
        </w:tc>
        <w:tc>
          <w:tcPr>
            <w:tcW w:w="7687"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7"/>
              <w:jc w:val="both"/>
              <w:rPr>
                <w:rFonts w:asciiTheme="minorEastAsia" w:hAnsiTheme="minorEastAsia" w:eastAsiaTheme="minorEastAsia"/>
              </w:rPr>
            </w:pPr>
            <w:r>
              <w:rPr>
                <w:rFonts w:asciiTheme="minorEastAsia" w:hAnsiTheme="minorEastAsia" w:eastAsiaTheme="minorEastAsia"/>
              </w:rPr>
              <w:t>13.</w:t>
            </w:r>
            <w:r>
              <w:rPr>
                <w:rFonts w:hint="eastAsia" w:asciiTheme="minorEastAsia" w:hAnsiTheme="minorEastAsia" w:eastAsiaTheme="minorEastAsia"/>
              </w:rPr>
              <w:t>支持工业设计知识产权优先审查。在有条件的工业设计知识产权密集地区建立知识产权快速维权机制和知识产权成果转化平台。</w:t>
            </w:r>
          </w:p>
        </w:tc>
        <w:tc>
          <w:tcPr>
            <w:tcW w:w="3691" w:type="dxa"/>
            <w:tcBorders>
              <w:top w:val="single" w:color="000000" w:sz="2" w:space="0"/>
              <w:left w:val="single" w:color="000000" w:sz="2" w:space="0"/>
              <w:bottom w:val="single" w:color="000000" w:sz="2" w:space="0"/>
              <w:right w:val="single" w:color="000000" w:sz="4" w:space="0"/>
            </w:tcBorders>
            <w:tcMar>
              <w:top w:w="28" w:type="dxa"/>
              <w:left w:w="28" w:type="dxa"/>
              <w:bottom w:w="28" w:type="dxa"/>
              <w:right w:w="28" w:type="dxa"/>
            </w:tcMar>
            <w:vAlign w:val="center"/>
          </w:tcPr>
          <w:p>
            <w:pPr>
              <w:pStyle w:val="7"/>
              <w:jc w:val="both"/>
              <w:rPr>
                <w:rFonts w:asciiTheme="minorEastAsia" w:hAnsiTheme="minorEastAsia" w:eastAsiaTheme="minorEastAsia"/>
              </w:rPr>
            </w:pPr>
            <w:r>
              <w:rPr>
                <w:rFonts w:hint="eastAsia" w:asciiTheme="minorEastAsia" w:hAnsiTheme="minorEastAsia" w:eastAsiaTheme="minorEastAsia"/>
              </w:rPr>
              <w:t>知识产权局负责</w:t>
            </w:r>
          </w:p>
        </w:tc>
      </w:tr>
      <w:tr>
        <w:tblPrEx>
          <w:tblCellMar>
            <w:top w:w="0" w:type="dxa"/>
            <w:left w:w="0" w:type="dxa"/>
            <w:bottom w:w="0" w:type="dxa"/>
            <w:right w:w="0" w:type="dxa"/>
          </w:tblCellMar>
        </w:tblPrEx>
        <w:trPr>
          <w:trHeight w:val="707" w:hRule="atLeast"/>
        </w:trPr>
        <w:tc>
          <w:tcPr>
            <w:tcW w:w="2189" w:type="dxa"/>
            <w:vMerge w:val="continue"/>
            <w:tcBorders>
              <w:top w:val="single" w:color="000000" w:sz="2" w:space="0"/>
              <w:left w:val="single" w:color="000000" w:sz="4" w:space="0"/>
              <w:bottom w:val="single" w:color="000000" w:sz="2" w:space="0"/>
              <w:right w:val="single" w:color="000000" w:sz="2" w:space="0"/>
            </w:tcBorders>
          </w:tcPr>
          <w:p>
            <w:pPr>
              <w:pStyle w:val="10"/>
              <w:spacing w:line="240" w:lineRule="auto"/>
              <w:jc w:val="left"/>
              <w:textAlignment w:val="auto"/>
              <w:rPr>
                <w:rFonts w:asciiTheme="minorEastAsia" w:hAnsiTheme="minorEastAsia" w:eastAsiaTheme="minorEastAsia" w:cstheme="minorBidi"/>
                <w:color w:val="auto"/>
                <w:lang w:val="en-US"/>
              </w:rPr>
            </w:pPr>
          </w:p>
        </w:tc>
        <w:tc>
          <w:tcPr>
            <w:tcW w:w="7687"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7"/>
              <w:jc w:val="both"/>
              <w:rPr>
                <w:rFonts w:asciiTheme="minorEastAsia" w:hAnsiTheme="minorEastAsia" w:eastAsiaTheme="minorEastAsia"/>
              </w:rPr>
            </w:pPr>
            <w:r>
              <w:rPr>
                <w:rFonts w:asciiTheme="minorEastAsia" w:hAnsiTheme="minorEastAsia" w:eastAsiaTheme="minorEastAsia"/>
              </w:rPr>
              <w:t>14.</w:t>
            </w:r>
            <w:r>
              <w:rPr>
                <w:rFonts w:hint="eastAsia" w:asciiTheme="minorEastAsia" w:hAnsiTheme="minorEastAsia" w:eastAsiaTheme="minorEastAsia"/>
              </w:rPr>
              <w:t>支持举办工业设计类展会，鼓励企业积极参与相关展览展示活动。</w:t>
            </w:r>
          </w:p>
        </w:tc>
        <w:tc>
          <w:tcPr>
            <w:tcW w:w="3691" w:type="dxa"/>
            <w:tcBorders>
              <w:top w:val="single" w:color="000000" w:sz="2" w:space="0"/>
              <w:left w:val="single" w:color="000000" w:sz="2" w:space="0"/>
              <w:bottom w:val="single" w:color="000000" w:sz="2" w:space="0"/>
              <w:right w:val="single" w:color="000000" w:sz="4" w:space="0"/>
            </w:tcBorders>
            <w:tcMar>
              <w:top w:w="28" w:type="dxa"/>
              <w:left w:w="28" w:type="dxa"/>
              <w:bottom w:w="28" w:type="dxa"/>
              <w:right w:w="28" w:type="dxa"/>
            </w:tcMar>
            <w:vAlign w:val="center"/>
          </w:tcPr>
          <w:p>
            <w:pPr>
              <w:pStyle w:val="7"/>
              <w:jc w:val="both"/>
              <w:rPr>
                <w:rFonts w:asciiTheme="minorEastAsia" w:hAnsiTheme="minorEastAsia" w:eastAsiaTheme="minorEastAsia"/>
              </w:rPr>
            </w:pPr>
            <w:r>
              <w:rPr>
                <w:rFonts w:hint="eastAsia" w:asciiTheme="minorEastAsia" w:hAnsiTheme="minorEastAsia" w:eastAsiaTheme="minorEastAsia"/>
              </w:rPr>
              <w:t>工业和信息化部负责</w:t>
            </w:r>
          </w:p>
        </w:tc>
      </w:tr>
      <w:tr>
        <w:tblPrEx>
          <w:tblCellMar>
            <w:top w:w="0" w:type="dxa"/>
            <w:left w:w="0" w:type="dxa"/>
            <w:bottom w:w="0" w:type="dxa"/>
            <w:right w:w="0" w:type="dxa"/>
          </w:tblCellMar>
        </w:tblPrEx>
        <w:trPr>
          <w:trHeight w:val="822" w:hRule="atLeast"/>
        </w:trPr>
        <w:tc>
          <w:tcPr>
            <w:tcW w:w="2189" w:type="dxa"/>
            <w:vMerge w:val="restart"/>
            <w:tcBorders>
              <w:top w:val="single" w:color="000000" w:sz="2" w:space="0"/>
              <w:left w:val="single" w:color="000000" w:sz="4" w:space="0"/>
              <w:bottom w:val="single" w:color="000000" w:sz="2" w:space="0"/>
              <w:right w:val="single" w:color="000000" w:sz="2" w:space="0"/>
            </w:tcBorders>
            <w:tcMar>
              <w:top w:w="28" w:type="dxa"/>
              <w:left w:w="28" w:type="dxa"/>
              <w:bottom w:w="28" w:type="dxa"/>
              <w:right w:w="28" w:type="dxa"/>
            </w:tcMar>
            <w:vAlign w:val="center"/>
          </w:tcPr>
          <w:p>
            <w:pPr>
              <w:pStyle w:val="7"/>
              <w:jc w:val="left"/>
              <w:rPr>
                <w:rFonts w:asciiTheme="minorEastAsia" w:hAnsiTheme="minorEastAsia" w:eastAsiaTheme="minorEastAsia"/>
              </w:rPr>
            </w:pPr>
            <w:r>
              <w:rPr>
                <w:rFonts w:hint="eastAsia" w:asciiTheme="minorEastAsia" w:hAnsiTheme="minorEastAsia" w:eastAsiaTheme="minorEastAsia"/>
              </w:rPr>
              <w:t>保障措施</w:t>
            </w:r>
          </w:p>
        </w:tc>
        <w:tc>
          <w:tcPr>
            <w:tcW w:w="7687" w:type="dxa"/>
            <w:tcBorders>
              <w:top w:val="single" w:color="000000" w:sz="2" w:space="0"/>
              <w:left w:val="single" w:color="000000" w:sz="2" w:space="0"/>
              <w:bottom w:val="single" w:color="000000" w:sz="2" w:space="0"/>
              <w:right w:val="single" w:color="000000" w:sz="2" w:space="0"/>
            </w:tcBorders>
            <w:tcMar>
              <w:top w:w="28" w:type="dxa"/>
              <w:left w:w="28" w:type="dxa"/>
              <w:bottom w:w="28" w:type="dxa"/>
              <w:right w:w="28" w:type="dxa"/>
            </w:tcMar>
            <w:vAlign w:val="center"/>
          </w:tcPr>
          <w:p>
            <w:pPr>
              <w:pStyle w:val="7"/>
              <w:jc w:val="both"/>
              <w:rPr>
                <w:rFonts w:asciiTheme="minorEastAsia" w:hAnsiTheme="minorEastAsia" w:eastAsiaTheme="minorEastAsia"/>
              </w:rPr>
            </w:pPr>
            <w:r>
              <w:rPr>
                <w:rFonts w:asciiTheme="minorEastAsia" w:hAnsiTheme="minorEastAsia" w:eastAsiaTheme="minorEastAsia"/>
              </w:rPr>
              <w:t>15.</w:t>
            </w:r>
            <w:r>
              <w:rPr>
                <w:rFonts w:hint="eastAsia" w:asciiTheme="minorEastAsia" w:hAnsiTheme="minorEastAsia" w:eastAsiaTheme="minorEastAsia"/>
              </w:rPr>
              <w:t>修订推动工业设计发展的政策。利用相关部门现有渠道和重大项目，支持制造业设计能力提升。企业提供设计开发和与之相关的技术咨询、技术服务收入，可按国家税法规定享受相关税收优惠政策。加强行业统计监测。</w:t>
            </w:r>
          </w:p>
        </w:tc>
        <w:tc>
          <w:tcPr>
            <w:tcW w:w="3691" w:type="dxa"/>
            <w:tcBorders>
              <w:top w:val="single" w:color="000000" w:sz="2" w:space="0"/>
              <w:left w:val="single" w:color="000000" w:sz="2" w:space="0"/>
              <w:bottom w:val="single" w:color="000000" w:sz="2" w:space="0"/>
              <w:right w:val="single" w:color="000000" w:sz="4" w:space="0"/>
            </w:tcBorders>
            <w:tcMar>
              <w:top w:w="28" w:type="dxa"/>
              <w:left w:w="28" w:type="dxa"/>
              <w:bottom w:w="28" w:type="dxa"/>
              <w:right w:w="28" w:type="dxa"/>
            </w:tcMar>
            <w:vAlign w:val="center"/>
          </w:tcPr>
          <w:p>
            <w:pPr>
              <w:pStyle w:val="7"/>
              <w:jc w:val="both"/>
              <w:rPr>
                <w:rFonts w:asciiTheme="minorEastAsia" w:hAnsiTheme="minorEastAsia" w:eastAsiaTheme="minorEastAsia"/>
              </w:rPr>
            </w:pPr>
            <w:r>
              <w:rPr>
                <w:rFonts w:hint="eastAsia" w:asciiTheme="minorEastAsia" w:hAnsiTheme="minorEastAsia" w:eastAsiaTheme="minorEastAsia"/>
              </w:rPr>
              <w:t>工业和信息化部、财政部、税务总局、统计局按照职责分工负责</w:t>
            </w:r>
          </w:p>
        </w:tc>
      </w:tr>
      <w:tr>
        <w:tblPrEx>
          <w:tblCellMar>
            <w:top w:w="0" w:type="dxa"/>
            <w:left w:w="0" w:type="dxa"/>
            <w:bottom w:w="0" w:type="dxa"/>
            <w:right w:w="0" w:type="dxa"/>
          </w:tblCellMar>
        </w:tblPrEx>
        <w:trPr>
          <w:trHeight w:val="847" w:hRule="atLeast"/>
        </w:trPr>
        <w:tc>
          <w:tcPr>
            <w:tcW w:w="2189" w:type="dxa"/>
            <w:vMerge w:val="continue"/>
            <w:tcBorders>
              <w:top w:val="single" w:color="000000" w:sz="2" w:space="0"/>
              <w:left w:val="single" w:color="000000" w:sz="4" w:space="0"/>
              <w:bottom w:val="single" w:color="000000" w:sz="4" w:space="0"/>
              <w:right w:val="single" w:color="000000" w:sz="2" w:space="0"/>
            </w:tcBorders>
          </w:tcPr>
          <w:p>
            <w:pPr>
              <w:pStyle w:val="10"/>
              <w:spacing w:line="240" w:lineRule="auto"/>
              <w:jc w:val="left"/>
              <w:textAlignment w:val="auto"/>
              <w:rPr>
                <w:rFonts w:asciiTheme="minorEastAsia" w:hAnsiTheme="minorEastAsia" w:eastAsiaTheme="minorEastAsia" w:cstheme="minorBidi"/>
                <w:color w:val="auto"/>
                <w:lang w:val="en-US"/>
              </w:rPr>
            </w:pPr>
          </w:p>
        </w:tc>
        <w:tc>
          <w:tcPr>
            <w:tcW w:w="7687" w:type="dxa"/>
            <w:tcBorders>
              <w:top w:val="single" w:color="000000" w:sz="2" w:space="0"/>
              <w:left w:val="single" w:color="000000" w:sz="2" w:space="0"/>
              <w:bottom w:val="single" w:color="000000" w:sz="4" w:space="0"/>
              <w:right w:val="single" w:color="000000" w:sz="2" w:space="0"/>
            </w:tcBorders>
            <w:tcMar>
              <w:top w:w="28" w:type="dxa"/>
              <w:left w:w="28" w:type="dxa"/>
              <w:bottom w:w="28" w:type="dxa"/>
              <w:right w:w="28" w:type="dxa"/>
            </w:tcMar>
            <w:vAlign w:val="center"/>
          </w:tcPr>
          <w:p>
            <w:pPr>
              <w:pStyle w:val="7"/>
              <w:jc w:val="both"/>
              <w:rPr>
                <w:rFonts w:asciiTheme="minorEastAsia" w:hAnsiTheme="minorEastAsia" w:eastAsiaTheme="minorEastAsia"/>
              </w:rPr>
            </w:pPr>
            <w:r>
              <w:rPr>
                <w:rFonts w:asciiTheme="minorEastAsia" w:hAnsiTheme="minorEastAsia" w:eastAsiaTheme="minorEastAsia"/>
              </w:rPr>
              <w:t>16.</w:t>
            </w:r>
            <w:r>
              <w:rPr>
                <w:rFonts w:hint="eastAsia" w:asciiTheme="minorEastAsia" w:hAnsiTheme="minorEastAsia" w:eastAsiaTheme="minorEastAsia"/>
              </w:rPr>
              <w:t>鼓励符合条件的设计企业上市融资。鼓励银行等金融机构为设计企业提供个性化服务，拓宽抵质押品范围。鼓励担保机构设立专项担保品种，加大对设计企业和设计创新项目的信用担保支持力度。</w:t>
            </w:r>
          </w:p>
        </w:tc>
        <w:tc>
          <w:tcPr>
            <w:tcW w:w="3691" w:type="dxa"/>
            <w:tcBorders>
              <w:top w:val="single" w:color="000000" w:sz="2" w:space="0"/>
              <w:left w:val="single" w:color="000000" w:sz="2" w:space="0"/>
              <w:bottom w:val="single" w:color="000000" w:sz="4" w:space="0"/>
              <w:right w:val="single" w:color="000000" w:sz="4" w:space="0"/>
            </w:tcBorders>
            <w:tcMar>
              <w:top w:w="28" w:type="dxa"/>
              <w:left w:w="28" w:type="dxa"/>
              <w:bottom w:w="28" w:type="dxa"/>
              <w:right w:w="28" w:type="dxa"/>
            </w:tcMar>
            <w:vAlign w:val="center"/>
          </w:tcPr>
          <w:p>
            <w:pPr>
              <w:pStyle w:val="7"/>
              <w:jc w:val="both"/>
              <w:rPr>
                <w:rFonts w:asciiTheme="minorEastAsia" w:hAnsiTheme="minorEastAsia" w:eastAsiaTheme="minorEastAsia"/>
              </w:rPr>
            </w:pPr>
            <w:r>
              <w:rPr>
                <w:rFonts w:hint="eastAsia" w:asciiTheme="minorEastAsia" w:hAnsiTheme="minorEastAsia" w:eastAsiaTheme="minorEastAsia"/>
              </w:rPr>
              <w:t>工业和信息化部、银保监会、证监会按照职责分工负责</w:t>
            </w:r>
          </w:p>
        </w:tc>
      </w:tr>
    </w:tbl>
    <w:p>
      <w:pPr>
        <w:pStyle w:val="11"/>
        <w:rPr>
          <w:rFonts w:asciiTheme="minorEastAsia" w:hAnsiTheme="minorEastAsia" w:eastAsiaTheme="minorEastAsia"/>
          <w:sz w:val="36"/>
          <w:szCs w:val="36"/>
        </w:rPr>
      </w:pPr>
    </w:p>
    <w:p>
      <w:pPr>
        <w:spacing w:before="156"/>
        <w:ind w:left="210" w:right="1470" w:hanging="210"/>
        <w:rPr>
          <w:rFonts w:asciiTheme="minorEastAsia" w:hAnsiTheme="minorEastAsia"/>
        </w:rPr>
      </w:pPr>
    </w:p>
    <w:sectPr>
      <w:pgSz w:w="16840" w:h="11907" w:orient="landscape"/>
      <w:pgMar w:top="1134" w:right="1134" w:bottom="1134" w:left="1134"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宋体 Std L">
    <w:altName w:val="宋体"/>
    <w:panose1 w:val="00000000000000000000"/>
    <w:charset w:val="86"/>
    <w:family w:val="roman"/>
    <w:pitch w:val="default"/>
    <w:sig w:usb0="00000000" w:usb1="00000000" w:usb2="00000016" w:usb3="00000000" w:csb0="00060007" w:csb1="00000000"/>
  </w:font>
  <w:font w:name="方正书宋_GBK">
    <w:altName w:val="Arial Unicode MS"/>
    <w:panose1 w:val="00000000000000000000"/>
    <w:charset w:val="86"/>
    <w:family w:val="script"/>
    <w:pitch w:val="default"/>
    <w:sig w:usb0="00000000" w:usb1="00000000" w:usb2="00000010" w:usb3="00000000" w:csb0="00040000" w:csb1="00000000"/>
  </w:font>
  <w:font w:name="ATC-69774f53*+*65705b57">
    <w:altName w:val="方正兰亭超细黑简体"/>
    <w:panose1 w:val="00000000000000000000"/>
    <w:charset w:val="86"/>
    <w:family w:val="auto"/>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方正仿宋_GBK">
    <w:altName w:val="Arial Unicode MS"/>
    <w:panose1 w:val="00000000000000000000"/>
    <w:charset w:val="86"/>
    <w:family w:val="script"/>
    <w:pitch w:val="default"/>
    <w:sig w:usb0="00000000" w:usb1="00000000" w:usb2="00000010" w:usb3="00000000" w:csb0="00040000" w:csb1="00000000"/>
  </w:font>
  <w:font w:name="ATC-9ed14f53*+*5c0f68075b8b">
    <w:altName w:val="宋体"/>
    <w:panose1 w:val="00000000000000000000"/>
    <w:charset w:val="86"/>
    <w:family w:val="auto"/>
    <w:pitch w:val="default"/>
    <w:sig w:usb0="00000000" w:usb1="00000000" w:usb2="00000010" w:usb3="00000000" w:csb0="00040000" w:csb1="00000000"/>
  </w:font>
  <w:font w:name="方正黑体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兰亭超细黑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55A2"/>
    <w:rsid w:val="00025C06"/>
    <w:rsid w:val="00197B67"/>
    <w:rsid w:val="0022013A"/>
    <w:rsid w:val="003454F9"/>
    <w:rsid w:val="00357073"/>
    <w:rsid w:val="003E5B15"/>
    <w:rsid w:val="003F743A"/>
    <w:rsid w:val="0044035A"/>
    <w:rsid w:val="004C4720"/>
    <w:rsid w:val="004D6344"/>
    <w:rsid w:val="00520AAC"/>
    <w:rsid w:val="005F2B70"/>
    <w:rsid w:val="006904E9"/>
    <w:rsid w:val="006D3732"/>
    <w:rsid w:val="006D4BA5"/>
    <w:rsid w:val="0071717E"/>
    <w:rsid w:val="00756CFF"/>
    <w:rsid w:val="007A145F"/>
    <w:rsid w:val="0080558A"/>
    <w:rsid w:val="00863C46"/>
    <w:rsid w:val="00896662"/>
    <w:rsid w:val="008A256C"/>
    <w:rsid w:val="00A04365"/>
    <w:rsid w:val="00A51C1E"/>
    <w:rsid w:val="00A51FF5"/>
    <w:rsid w:val="00AA45BB"/>
    <w:rsid w:val="00B5640C"/>
    <w:rsid w:val="00B86D80"/>
    <w:rsid w:val="00BD40A6"/>
    <w:rsid w:val="00BD4ECA"/>
    <w:rsid w:val="00C335E0"/>
    <w:rsid w:val="00C51D97"/>
    <w:rsid w:val="00C7077D"/>
    <w:rsid w:val="00C77533"/>
    <w:rsid w:val="00CC3D3D"/>
    <w:rsid w:val="00D13841"/>
    <w:rsid w:val="00D64B82"/>
    <w:rsid w:val="00D87D96"/>
    <w:rsid w:val="00DC65CE"/>
    <w:rsid w:val="00DF2292"/>
    <w:rsid w:val="00EB4F11"/>
    <w:rsid w:val="00EB7E99"/>
    <w:rsid w:val="00F455A2"/>
    <w:rsid w:val="00F53B6E"/>
    <w:rsid w:val="00FE6335"/>
    <w:rsid w:val="629A5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3"/>
    <w:semiHidden/>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32"/>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6">
    <w:name w:val="[基本段落]"/>
    <w:basedOn w:val="1"/>
    <w:uiPriority w:val="99"/>
    <w:pPr>
      <w:autoSpaceDE w:val="0"/>
      <w:autoSpaceDN w:val="0"/>
      <w:adjustRightInd w:val="0"/>
      <w:spacing w:line="288" w:lineRule="auto"/>
      <w:textAlignment w:val="center"/>
    </w:pPr>
    <w:rPr>
      <w:rFonts w:ascii="Adobe 宋体 Std L" w:eastAsia="Adobe 宋体 Std L" w:cs="Adobe 宋体 Std L"/>
      <w:color w:val="000000"/>
      <w:kern w:val="0"/>
      <w:sz w:val="24"/>
      <w:szCs w:val="24"/>
      <w:lang w:val="zh-CN"/>
    </w:rPr>
  </w:style>
  <w:style w:type="paragraph" w:customStyle="1" w:styleId="7">
    <w:name w:val="表格内文 (表格组)"/>
    <w:basedOn w:val="1"/>
    <w:uiPriority w:val="99"/>
    <w:pPr>
      <w:autoSpaceDE w:val="0"/>
      <w:autoSpaceDN w:val="0"/>
      <w:adjustRightInd w:val="0"/>
      <w:spacing w:line="240" w:lineRule="atLeast"/>
      <w:jc w:val="center"/>
      <w:textAlignment w:val="center"/>
    </w:pPr>
    <w:rPr>
      <w:rFonts w:ascii="方正书宋_GBK" w:eastAsia="方正书宋_GBK" w:cs="方正书宋_GBK"/>
      <w:color w:val="000000"/>
      <w:kern w:val="0"/>
      <w:sz w:val="18"/>
      <w:szCs w:val="18"/>
      <w:lang w:val="zh-CN"/>
    </w:rPr>
  </w:style>
  <w:style w:type="paragraph" w:customStyle="1" w:styleId="8">
    <w:name w:val="目录正文文本"/>
    <w:basedOn w:val="6"/>
    <w:qFormat/>
    <w:uiPriority w:val="99"/>
    <w:pPr>
      <w:tabs>
        <w:tab w:val="right" w:leader="dot" w:pos="9620"/>
      </w:tabs>
      <w:spacing w:before="170" w:line="396" w:lineRule="atLeast"/>
      <w:jc w:val="left"/>
    </w:pPr>
    <w:rPr>
      <w:rFonts w:ascii="方正书宋_GBK" w:eastAsia="方正书宋_GBK" w:cs="方正书宋_GBK"/>
      <w:sz w:val="21"/>
      <w:szCs w:val="21"/>
    </w:rPr>
  </w:style>
  <w:style w:type="paragraph" w:customStyle="1" w:styleId="9">
    <w:name w:val="目录文号"/>
    <w:basedOn w:val="1"/>
    <w:qFormat/>
    <w:uiPriority w:val="99"/>
    <w:pPr>
      <w:tabs>
        <w:tab w:val="right" w:leader="dot" w:pos="9580"/>
      </w:tabs>
      <w:autoSpaceDE w:val="0"/>
      <w:autoSpaceDN w:val="0"/>
      <w:adjustRightInd w:val="0"/>
      <w:spacing w:line="396" w:lineRule="atLeast"/>
      <w:ind w:left="454"/>
      <w:jc w:val="left"/>
      <w:textAlignment w:val="center"/>
    </w:pPr>
    <w:rPr>
      <w:rFonts w:ascii="ATC-69774f53*+*65705b57" w:eastAsia="ATC-69774f53*+*65705b57" w:cs="ATC-69774f53*+*65705b57"/>
      <w:color w:val="000000"/>
      <w:kern w:val="0"/>
      <w:szCs w:val="21"/>
      <w:lang w:val="zh-CN"/>
    </w:rPr>
  </w:style>
  <w:style w:type="paragraph" w:customStyle="1" w:styleId="10">
    <w:name w:val="[无段落样式]"/>
    <w:qFormat/>
    <w:uiPriority w:val="0"/>
    <w:pPr>
      <w:widowControl w:val="0"/>
      <w:autoSpaceDE w:val="0"/>
      <w:autoSpaceDN w:val="0"/>
      <w:adjustRightInd w:val="0"/>
      <w:spacing w:line="288" w:lineRule="auto"/>
      <w:jc w:val="both"/>
      <w:textAlignment w:val="center"/>
    </w:pPr>
    <w:rPr>
      <w:rFonts w:ascii="Adobe 宋体 Std L" w:eastAsia="Adobe 宋体 Std L" w:cs="Adobe 宋体 Std L" w:hAnsiTheme="minorHAnsi"/>
      <w:color w:val="000000"/>
      <w:kern w:val="0"/>
      <w:sz w:val="24"/>
      <w:szCs w:val="24"/>
      <w:lang w:val="zh-CN" w:eastAsia="zh-CN" w:bidi="ar-SA"/>
    </w:rPr>
  </w:style>
  <w:style w:type="paragraph" w:customStyle="1" w:styleId="11">
    <w:name w:val="正文 (正文组)"/>
    <w:basedOn w:val="10"/>
    <w:qFormat/>
    <w:uiPriority w:val="99"/>
    <w:pPr>
      <w:spacing w:line="240" w:lineRule="auto"/>
    </w:pPr>
    <w:rPr>
      <w:rFonts w:ascii="方正书宋_GBK" w:eastAsia="方正书宋_GBK" w:cs="方正书宋_GBK"/>
      <w:sz w:val="21"/>
      <w:szCs w:val="21"/>
    </w:rPr>
  </w:style>
  <w:style w:type="paragraph" w:customStyle="1" w:styleId="12">
    <w:name w:val="附件标题 (附件组)"/>
    <w:basedOn w:val="11"/>
    <w:qFormat/>
    <w:uiPriority w:val="99"/>
    <w:pPr>
      <w:jc w:val="center"/>
    </w:pPr>
    <w:rPr>
      <w:rFonts w:ascii="方正小标宋_GBK" w:eastAsia="方正小标宋_GBK" w:cs="方正小标宋_GBK"/>
      <w:position w:val="-18"/>
      <w:sz w:val="36"/>
      <w:szCs w:val="36"/>
    </w:rPr>
  </w:style>
  <w:style w:type="paragraph" w:customStyle="1" w:styleId="13">
    <w:name w:val="两行标题 (文前标题组)"/>
    <w:basedOn w:val="12"/>
    <w:qFormat/>
    <w:uiPriority w:val="99"/>
    <w:pPr>
      <w:spacing w:line="520" w:lineRule="atLeast"/>
    </w:pPr>
    <w:rPr>
      <w:position w:val="-50"/>
    </w:rPr>
  </w:style>
  <w:style w:type="paragraph" w:customStyle="1" w:styleId="14">
    <w:name w:val="文号 (文前标题组)"/>
    <w:basedOn w:val="10"/>
    <w:qFormat/>
    <w:uiPriority w:val="99"/>
    <w:pPr>
      <w:spacing w:line="240" w:lineRule="auto"/>
      <w:jc w:val="center"/>
    </w:pPr>
    <w:rPr>
      <w:rFonts w:ascii="ATC-69774f53*+*65705b57" w:eastAsia="ATC-69774f53*+*65705b57" w:cs="ATC-69774f53*+*65705b57"/>
      <w:position w:val="20"/>
      <w:sz w:val="26"/>
      <w:szCs w:val="26"/>
    </w:rPr>
  </w:style>
  <w:style w:type="paragraph" w:customStyle="1" w:styleId="15">
    <w:name w:val="正文后附件 (附件组)"/>
    <w:basedOn w:val="11"/>
    <w:qFormat/>
    <w:uiPriority w:val="99"/>
    <w:rPr>
      <w:rFonts w:ascii="ATC-69774f53*+*65705b57" w:eastAsia="ATC-69774f53*+*65705b57" w:cs="ATC-69774f53*+*65705b57"/>
    </w:rPr>
  </w:style>
  <w:style w:type="paragraph" w:customStyle="1" w:styleId="16">
    <w:name w:val="抄送格式 (附件组)"/>
    <w:basedOn w:val="15"/>
    <w:qFormat/>
    <w:uiPriority w:val="99"/>
    <w:pPr>
      <w:ind w:left="1049" w:hanging="1049"/>
    </w:pPr>
  </w:style>
  <w:style w:type="paragraph" w:customStyle="1" w:styleId="17">
    <w:name w:val="落款名称 (正文组)"/>
    <w:basedOn w:val="11"/>
    <w:qFormat/>
    <w:uiPriority w:val="99"/>
    <w:pPr>
      <w:ind w:right="567"/>
      <w:jc w:val="right"/>
    </w:pPr>
    <w:rPr>
      <w:rFonts w:ascii="方正仿宋_GBK" w:eastAsia="方正仿宋_GBK" w:cs="方正仿宋_GBK"/>
      <w:sz w:val="24"/>
      <w:szCs w:val="24"/>
    </w:rPr>
  </w:style>
  <w:style w:type="paragraph" w:customStyle="1" w:styleId="18">
    <w:name w:val="落款日期 (正文组)"/>
    <w:basedOn w:val="11"/>
    <w:qFormat/>
    <w:uiPriority w:val="99"/>
    <w:pPr>
      <w:ind w:right="454"/>
      <w:jc w:val="right"/>
    </w:pPr>
  </w:style>
  <w:style w:type="paragraph" w:customStyle="1" w:styleId="19">
    <w:name w:val="附件 (附件组)"/>
    <w:basedOn w:val="10"/>
    <w:qFormat/>
    <w:uiPriority w:val="99"/>
    <w:pPr>
      <w:spacing w:line="240" w:lineRule="auto"/>
    </w:pPr>
    <w:rPr>
      <w:rFonts w:ascii="ATC-9ed14f53*+*5c0f68075b8b" w:eastAsia="ATC-9ed14f53*+*5c0f68075b8b" w:cs="ATC-9ed14f53*+*5c0f68075b8b"/>
    </w:rPr>
  </w:style>
  <w:style w:type="paragraph" w:customStyle="1" w:styleId="20">
    <w:name w:val="不空 (正文组)"/>
    <w:basedOn w:val="11"/>
    <w:qFormat/>
    <w:uiPriority w:val="99"/>
  </w:style>
  <w:style w:type="paragraph" w:customStyle="1" w:styleId="21">
    <w:name w:val="正文黑体 (正文组)"/>
    <w:basedOn w:val="11"/>
    <w:qFormat/>
    <w:uiPriority w:val="99"/>
    <w:rPr>
      <w:rFonts w:ascii="方正黑体_GBK" w:eastAsia="方正黑体_GBK" w:cs="方正黑体_GBK"/>
    </w:rPr>
  </w:style>
  <w:style w:type="paragraph" w:customStyle="1" w:styleId="22">
    <w:name w:val="附件对齐 (附件组)"/>
    <w:basedOn w:val="15"/>
    <w:qFormat/>
    <w:uiPriority w:val="99"/>
    <w:pPr>
      <w:ind w:left="680"/>
    </w:pPr>
  </w:style>
  <w:style w:type="paragraph" w:customStyle="1" w:styleId="23">
    <w:name w:val="许可文书一 (正文组)"/>
    <w:basedOn w:val="20"/>
    <w:qFormat/>
    <w:uiPriority w:val="99"/>
    <w:rPr>
      <w:rFonts w:ascii="方正仿宋_GBK" w:eastAsia="方正仿宋_GBK" w:cs="方正仿宋_GBK"/>
      <w:sz w:val="24"/>
      <w:szCs w:val="24"/>
    </w:rPr>
  </w:style>
  <w:style w:type="paragraph" w:customStyle="1" w:styleId="24">
    <w:name w:val="许可文书标题 (附件组)"/>
    <w:basedOn w:val="12"/>
    <w:qFormat/>
    <w:uiPriority w:val="99"/>
    <w:rPr>
      <w:position w:val="0"/>
      <w:sz w:val="28"/>
      <w:szCs w:val="28"/>
    </w:rPr>
  </w:style>
  <w:style w:type="paragraph" w:customStyle="1" w:styleId="25">
    <w:name w:val="许可文书字号 (正文组)"/>
    <w:basedOn w:val="20"/>
    <w:qFormat/>
    <w:uiPriority w:val="99"/>
    <w:pPr>
      <w:jc w:val="center"/>
    </w:pPr>
    <w:rPr>
      <w:rFonts w:ascii="方正仿宋_GBK" w:eastAsia="方正仿宋_GBK" w:cs="方正仿宋_GBK"/>
      <w:position w:val="30"/>
    </w:rPr>
  </w:style>
  <w:style w:type="paragraph" w:customStyle="1" w:styleId="26">
    <w:name w:val="章 (正文组)"/>
    <w:basedOn w:val="10"/>
    <w:qFormat/>
    <w:uiPriority w:val="99"/>
    <w:pPr>
      <w:spacing w:line="240" w:lineRule="auto"/>
      <w:jc w:val="center"/>
    </w:pPr>
    <w:rPr>
      <w:rFonts w:ascii="方正黑体_GBK" w:eastAsia="方正黑体_GBK" w:cs="方正黑体_GBK"/>
      <w:sz w:val="28"/>
      <w:szCs w:val="28"/>
    </w:rPr>
  </w:style>
  <w:style w:type="paragraph" w:customStyle="1" w:styleId="27">
    <w:name w:val="条 (正文组)"/>
    <w:basedOn w:val="10"/>
    <w:qFormat/>
    <w:uiPriority w:val="99"/>
    <w:pPr>
      <w:spacing w:line="240" w:lineRule="auto"/>
    </w:pPr>
    <w:rPr>
      <w:rFonts w:ascii="方正书宋_GBK" w:eastAsia="方正书宋_GBK" w:cs="方正书宋_GBK"/>
      <w:sz w:val="21"/>
      <w:szCs w:val="21"/>
    </w:rPr>
  </w:style>
  <w:style w:type="paragraph" w:customStyle="1" w:styleId="28">
    <w:name w:val="三行 (文前标题组)"/>
    <w:basedOn w:val="13"/>
    <w:qFormat/>
    <w:uiPriority w:val="99"/>
    <w:rPr>
      <w:position w:val="-46"/>
    </w:rPr>
  </w:style>
  <w:style w:type="paragraph" w:customStyle="1" w:styleId="29">
    <w:name w:val="表头 (表格组)"/>
    <w:basedOn w:val="7"/>
    <w:qFormat/>
    <w:uiPriority w:val="99"/>
    <w:rPr>
      <w:rFonts w:ascii="方正黑体_GBK" w:eastAsia="方正黑体_GBK" w:cs="方正黑体_GBK"/>
    </w:rPr>
  </w:style>
  <w:style w:type="paragraph" w:customStyle="1" w:styleId="30">
    <w:name w:val="表格前空 (表格组)"/>
    <w:basedOn w:val="7"/>
    <w:qFormat/>
    <w:uiPriority w:val="99"/>
    <w:pPr>
      <w:jc w:val="both"/>
    </w:pPr>
  </w:style>
  <w:style w:type="character" w:customStyle="1" w:styleId="31">
    <w:name w:val="字符样式1"/>
    <w:qFormat/>
    <w:uiPriority w:val="99"/>
    <w:rPr>
      <w:rFonts w:ascii="方正黑体_GBK" w:eastAsia="方正黑体_GBK" w:cs="方正黑体_GBK"/>
    </w:rPr>
  </w:style>
  <w:style w:type="character" w:customStyle="1" w:styleId="32">
    <w:name w:val="页眉 Char"/>
    <w:basedOn w:val="5"/>
    <w:link w:val="3"/>
    <w:semiHidden/>
    <w:qFormat/>
    <w:uiPriority w:val="99"/>
    <w:rPr>
      <w:sz w:val="18"/>
      <w:szCs w:val="18"/>
    </w:rPr>
  </w:style>
  <w:style w:type="character" w:customStyle="1" w:styleId="33">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249</Words>
  <Characters>1423</Characters>
  <Lines>11</Lines>
  <Paragraphs>3</Paragraphs>
  <TotalTime>23</TotalTime>
  <ScaleCrop>false</ScaleCrop>
  <LinksUpToDate>false</LinksUpToDate>
  <CharactersWithSpaces>1669</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2019-12-30T03:53:00Z</dcterms:created>
  <dc:creator>AutoBVT</dc:creator>
  <cp:lastModifiedBy>Administrator</cp:lastModifiedBy>
  <dcterms:modified xsi:type="dcterms:W3CDTF">2025-01-08T07:17:17Z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